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B6" w:rsidRPr="009D189E" w:rsidRDefault="00FC47B6" w:rsidP="009D189E">
      <w:pPr>
        <w:tabs>
          <w:tab w:val="left" w:pos="284"/>
        </w:tabs>
        <w:bidi w:val="0"/>
        <w:spacing w:line="360" w:lineRule="auto"/>
        <w:jc w:val="center"/>
        <w:rPr>
          <w:sz w:val="28"/>
          <w:szCs w:val="28"/>
        </w:rPr>
      </w:pPr>
      <w:r w:rsidRPr="009D189E">
        <w:rPr>
          <w:sz w:val="28"/>
          <w:szCs w:val="28"/>
        </w:rPr>
        <w:t>Some Trace Elements and Its Relation to obesity Among A Sample of Egyptian</w:t>
      </w:r>
      <w:r w:rsidRPr="009D189E">
        <w:rPr>
          <w:sz w:val="28"/>
          <w:szCs w:val="28"/>
          <w:rtl/>
        </w:rPr>
        <w:t xml:space="preserve"> </w:t>
      </w:r>
      <w:r w:rsidRPr="009D189E">
        <w:rPr>
          <w:sz w:val="28"/>
          <w:szCs w:val="28"/>
        </w:rPr>
        <w:t>Children and Adolescents</w:t>
      </w:r>
    </w:p>
    <w:p w:rsidR="00FC47B6" w:rsidRPr="009D189E" w:rsidRDefault="00FC47B6" w:rsidP="009D189E">
      <w:pPr>
        <w:tabs>
          <w:tab w:val="left" w:pos="284"/>
        </w:tabs>
        <w:bidi w:val="0"/>
        <w:spacing w:line="360" w:lineRule="auto"/>
        <w:jc w:val="center"/>
        <w:rPr>
          <w:sz w:val="28"/>
          <w:szCs w:val="28"/>
        </w:rPr>
      </w:pPr>
      <w:r w:rsidRPr="009D189E">
        <w:rPr>
          <w:sz w:val="28"/>
          <w:szCs w:val="28"/>
        </w:rPr>
        <w:t>Prof. Magdy Karam El-Din</w:t>
      </w:r>
    </w:p>
    <w:p w:rsidR="00FC47B6" w:rsidRPr="009D189E" w:rsidRDefault="00FC47B6" w:rsidP="009D189E">
      <w:pPr>
        <w:tabs>
          <w:tab w:val="left" w:pos="284"/>
        </w:tabs>
        <w:bidi w:val="0"/>
        <w:spacing w:line="360" w:lineRule="auto"/>
        <w:jc w:val="center"/>
        <w:rPr>
          <w:rFonts w:cs="Simplified Arabic"/>
          <w:sz w:val="28"/>
          <w:szCs w:val="28"/>
        </w:rPr>
      </w:pPr>
      <w:r w:rsidRPr="009D189E">
        <w:rPr>
          <w:rFonts w:cs="Simplified Arabic"/>
          <w:sz w:val="28"/>
          <w:szCs w:val="28"/>
        </w:rPr>
        <w:t>Professor of community &amp; Vice Dean</w:t>
      </w:r>
      <w:r>
        <w:rPr>
          <w:rFonts w:cs="Simplified Arabic"/>
          <w:sz w:val="28"/>
          <w:szCs w:val="28"/>
          <w:rtl/>
        </w:rPr>
        <w:t xml:space="preserve"> </w:t>
      </w:r>
      <w:r w:rsidRPr="009D189E">
        <w:rPr>
          <w:rFonts w:cs="Simplified Arabic"/>
          <w:sz w:val="28"/>
          <w:szCs w:val="28"/>
        </w:rPr>
        <w:t>Institute of Postgraduate Childhood</w:t>
      </w:r>
    </w:p>
    <w:p w:rsidR="00FC47B6" w:rsidRPr="009D189E" w:rsidRDefault="00FC47B6" w:rsidP="009D189E">
      <w:pPr>
        <w:tabs>
          <w:tab w:val="left" w:pos="284"/>
        </w:tabs>
        <w:bidi w:val="0"/>
        <w:spacing w:line="360" w:lineRule="auto"/>
        <w:jc w:val="center"/>
        <w:rPr>
          <w:rFonts w:cs="Simplified Arabic"/>
          <w:sz w:val="28"/>
          <w:szCs w:val="28"/>
        </w:rPr>
      </w:pPr>
      <w:r w:rsidRPr="009D189E">
        <w:rPr>
          <w:rFonts w:cs="Simplified Arabic"/>
          <w:sz w:val="28"/>
          <w:szCs w:val="28"/>
        </w:rPr>
        <w:t xml:space="preserve">                 Studies -Ain Shams University</w:t>
      </w:r>
    </w:p>
    <w:p w:rsidR="00FC47B6" w:rsidRPr="009D189E" w:rsidRDefault="00FC47B6" w:rsidP="009D189E">
      <w:pPr>
        <w:bidi w:val="0"/>
        <w:spacing w:line="360" w:lineRule="auto"/>
        <w:jc w:val="center"/>
        <w:rPr>
          <w:sz w:val="28"/>
          <w:szCs w:val="28"/>
          <w:rtl/>
        </w:rPr>
      </w:pPr>
      <w:r w:rsidRPr="009D189E">
        <w:rPr>
          <w:sz w:val="28"/>
          <w:szCs w:val="28"/>
        </w:rPr>
        <w:t>Ass. prof. Rasha Tarif Hamza</w:t>
      </w:r>
      <w:r w:rsidRPr="009D189E">
        <w:rPr>
          <w:sz w:val="28"/>
          <w:szCs w:val="28"/>
          <w:rtl/>
        </w:rPr>
        <w:t xml:space="preserve"> </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Assistant Professor of Pediatrics</w:t>
      </w:r>
      <w:r>
        <w:rPr>
          <w:rFonts w:cs="Simplified Arabic"/>
          <w:sz w:val="28"/>
          <w:szCs w:val="28"/>
          <w:rtl/>
        </w:rPr>
        <w:t xml:space="preserve"> </w:t>
      </w:r>
      <w:r w:rsidRPr="009D189E">
        <w:rPr>
          <w:rFonts w:cs="Simplified Arabic"/>
          <w:sz w:val="28"/>
          <w:szCs w:val="28"/>
        </w:rPr>
        <w:t>Faculty of Medicine</w:t>
      </w:r>
      <w:r>
        <w:rPr>
          <w:rFonts w:cs="Simplified Arabic"/>
          <w:sz w:val="28"/>
          <w:szCs w:val="28"/>
          <w:rtl/>
        </w:rPr>
        <w:t xml:space="preserve"> </w:t>
      </w:r>
      <w:r w:rsidRPr="009D189E">
        <w:rPr>
          <w:rFonts w:cs="Simplified Arabic"/>
          <w:sz w:val="28"/>
          <w:szCs w:val="28"/>
        </w:rPr>
        <w:t>Ain Shams University</w:t>
      </w:r>
    </w:p>
    <w:p w:rsidR="00FC47B6" w:rsidRPr="009D189E" w:rsidRDefault="00FC47B6" w:rsidP="009D189E">
      <w:pPr>
        <w:tabs>
          <w:tab w:val="left" w:pos="284"/>
        </w:tabs>
        <w:bidi w:val="0"/>
        <w:spacing w:line="360" w:lineRule="auto"/>
        <w:jc w:val="center"/>
        <w:rPr>
          <w:sz w:val="28"/>
          <w:szCs w:val="28"/>
        </w:rPr>
      </w:pPr>
      <w:r w:rsidRPr="009D189E">
        <w:rPr>
          <w:sz w:val="28"/>
          <w:szCs w:val="28"/>
        </w:rPr>
        <w:t>ASS. prof. Ayman Nada</w:t>
      </w:r>
    </w:p>
    <w:p w:rsidR="00FC47B6" w:rsidRPr="009D189E" w:rsidRDefault="00FC47B6" w:rsidP="009D189E">
      <w:pPr>
        <w:tabs>
          <w:tab w:val="left" w:pos="284"/>
        </w:tabs>
        <w:bidi w:val="0"/>
        <w:spacing w:line="360" w:lineRule="auto"/>
        <w:jc w:val="center"/>
        <w:rPr>
          <w:rFonts w:cs="Simplified Arabic"/>
          <w:sz w:val="28"/>
          <w:szCs w:val="28"/>
        </w:rPr>
      </w:pPr>
      <w:r w:rsidRPr="009D189E">
        <w:rPr>
          <w:rFonts w:cs="Simplified Arabic"/>
          <w:sz w:val="28"/>
          <w:szCs w:val="28"/>
        </w:rPr>
        <w:t>Assistant Professor Medical Studies Department</w:t>
      </w:r>
      <w:r>
        <w:rPr>
          <w:rFonts w:cs="Simplified Arabic"/>
          <w:sz w:val="28"/>
          <w:szCs w:val="28"/>
          <w:rtl/>
        </w:rPr>
        <w:t xml:space="preserve"> </w:t>
      </w:r>
      <w:r w:rsidRPr="009D189E">
        <w:rPr>
          <w:rFonts w:cs="Simplified Arabic"/>
          <w:sz w:val="28"/>
          <w:szCs w:val="28"/>
        </w:rPr>
        <w:t>Institute of Postgraduate Childhood Studies</w:t>
      </w:r>
    </w:p>
    <w:p w:rsidR="00FC47B6" w:rsidRPr="009D189E" w:rsidRDefault="00FC47B6" w:rsidP="009D189E">
      <w:pPr>
        <w:tabs>
          <w:tab w:val="left" w:pos="284"/>
        </w:tabs>
        <w:bidi w:val="0"/>
        <w:spacing w:line="360" w:lineRule="auto"/>
        <w:jc w:val="center"/>
        <w:rPr>
          <w:sz w:val="28"/>
          <w:szCs w:val="28"/>
        </w:rPr>
      </w:pPr>
      <w:r w:rsidRPr="009D189E">
        <w:rPr>
          <w:sz w:val="28"/>
          <w:szCs w:val="28"/>
        </w:rPr>
        <w:t>Mona El Sayed EI Sayed Hassan</w:t>
      </w:r>
    </w:p>
    <w:p w:rsidR="00FC47B6" w:rsidRPr="009D189E" w:rsidRDefault="00FC47B6" w:rsidP="009D189E">
      <w:pPr>
        <w:tabs>
          <w:tab w:val="left" w:pos="284"/>
        </w:tabs>
        <w:bidi w:val="0"/>
        <w:spacing w:line="360" w:lineRule="auto"/>
        <w:jc w:val="center"/>
        <w:rPr>
          <w:rFonts w:cs="Simplified Arabic"/>
          <w:sz w:val="28"/>
          <w:szCs w:val="28"/>
        </w:rPr>
      </w:pPr>
      <w:r w:rsidRPr="009D189E">
        <w:rPr>
          <w:rFonts w:cs="Simplified Arabic"/>
          <w:sz w:val="28"/>
          <w:szCs w:val="28"/>
        </w:rPr>
        <w:t>M.B.; BCh., Faculty of Medicine, Cairo University</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Abstract:</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The threat of worldwide obesity in children is a reality and has become pandemic. Previously a concern of only developed countries, rapid, escalating rates of overweight children now dominate the public health concerns of middle- and low-income nations as well. In Egypt the prevalence of overweight and obesity in children has reached 20.5%. BMI is used as a screening tool to identify possible weight problems for children. The BMI of children changes with age and differs between the sexes, so must be considered in an age- and sex-specific way.</w:t>
      </w:r>
      <w:r w:rsidRPr="009D189E">
        <w:rPr>
          <w:rFonts w:cs="Simplified Arabic"/>
          <w:color w:val="231F20"/>
          <w:sz w:val="28"/>
          <w:szCs w:val="28"/>
        </w:rPr>
        <w:t xml:space="preserve"> Consequent to abnormal metabolism, micronutrient deficiencies are common in obese individuals across all age groups. </w:t>
      </w:r>
      <w:r w:rsidRPr="009D189E">
        <w:rPr>
          <w:rFonts w:cs="Simplified Arabic"/>
          <w:sz w:val="28"/>
          <w:szCs w:val="28"/>
        </w:rPr>
        <w:t>Out of the trace elements, calcium, copper, iron, magnesium, and zinc are the most crucial cations required.</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Aim:</w:t>
      </w:r>
    </w:p>
    <w:p w:rsidR="00FC47B6" w:rsidRPr="009D189E" w:rsidRDefault="00FC47B6" w:rsidP="009D189E">
      <w:pPr>
        <w:shd w:val="clear" w:color="auto" w:fill="FFFFFF"/>
        <w:bidi w:val="0"/>
        <w:spacing w:line="360" w:lineRule="auto"/>
        <w:jc w:val="both"/>
        <w:outlineLvl w:val="2"/>
        <w:rPr>
          <w:rFonts w:cs="Simplified Arabic"/>
          <w:sz w:val="28"/>
          <w:szCs w:val="28"/>
        </w:rPr>
      </w:pPr>
      <w:r w:rsidRPr="009D189E">
        <w:rPr>
          <w:rFonts w:cs="Simplified Arabic"/>
          <w:sz w:val="28"/>
          <w:szCs w:val="28"/>
        </w:rPr>
        <w:t xml:space="preserve">The aim of this study is to </w:t>
      </w:r>
      <w:r w:rsidRPr="009D189E">
        <w:rPr>
          <w:rFonts w:cs="Simplified Arabic"/>
          <w:color w:val="000000"/>
          <w:sz w:val="28"/>
          <w:szCs w:val="28"/>
        </w:rPr>
        <w:t>assess some trace elements among obese children and adolescents and to detect correlation between each of zinc, copper, iron, magnesium and anthropometric measures of the obese children and adolescents.</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Methodology:</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This study was conducted on 40 obese children and adolescents who were attending Pediatric Obesity Clinic, Children's Hospital, Ain Shams University during the period from September 2011 to April 2012. Patients were compared to 40 healthy; age-, sex- and pubertal stage- matched children and adolescents serving as controls. Full history taking and full clinical examination were done. Blood samples were taken for measurement of sera level of Copper, Iron, Magnesium and Zinc.</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Results:</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Studying BMI SDS as risk factor for zinc, iron and magnesium deficiencies and elevated serum copper was done. A high BMI SDS was a significant risk factor for zinc deficiency and iron deficiency (p ≤ 0.05), while it was highly statistically significant for magnesium deficiency and elevated serum copper level (p ≤0.001).</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Conclusion:</w:t>
      </w:r>
    </w:p>
    <w:p w:rsidR="00FC47B6" w:rsidRPr="009D189E" w:rsidRDefault="00FC47B6" w:rsidP="009D189E">
      <w:pPr>
        <w:pBdr>
          <w:bottom w:val="single" w:sz="6" w:space="1" w:color="auto"/>
        </w:pBdr>
        <w:bidi w:val="0"/>
        <w:spacing w:line="360" w:lineRule="auto"/>
        <w:jc w:val="both"/>
        <w:rPr>
          <w:rFonts w:cs="Simplified Arabic"/>
          <w:sz w:val="28"/>
          <w:szCs w:val="28"/>
        </w:rPr>
      </w:pPr>
      <w:r w:rsidRPr="009D189E">
        <w:rPr>
          <w:rFonts w:cs="Simplified Arabic"/>
          <w:sz w:val="28"/>
          <w:szCs w:val="28"/>
        </w:rPr>
        <w:t>All trace elements were significantly lower among obese cases than normal controls except for copper which was significantly higher among cases than controls. Also A high BMI SDS was a significant risk factor for zinc deficiency and iron deficiency, while it was highly statistically significant for magnesium deficiency and elevated serum copper level.</w:t>
      </w:r>
    </w:p>
    <w:p w:rsidR="00FC47B6" w:rsidRPr="009D189E" w:rsidRDefault="00FC47B6" w:rsidP="009D189E">
      <w:pPr>
        <w:pBdr>
          <w:bottom w:val="single" w:sz="6" w:space="1" w:color="auto"/>
        </w:pBdr>
        <w:bidi w:val="0"/>
        <w:spacing w:line="360" w:lineRule="auto"/>
        <w:jc w:val="both"/>
        <w:rPr>
          <w:rFonts w:cs="Simplified Arabic"/>
          <w:sz w:val="28"/>
          <w:szCs w:val="28"/>
        </w:rPr>
      </w:pPr>
      <w:r w:rsidRPr="009D189E">
        <w:rPr>
          <w:rFonts w:cs="Simplified Arabic"/>
          <w:sz w:val="28"/>
          <w:szCs w:val="28"/>
        </w:rPr>
        <w:t>Key words: Obesity, Children, Trace Elements, iron, zinc, copper, magnesium.</w:t>
      </w:r>
    </w:p>
    <w:p w:rsidR="00FC47B6" w:rsidRPr="009D189E" w:rsidRDefault="00FC47B6" w:rsidP="009D189E">
      <w:pPr>
        <w:pBdr>
          <w:bottom w:val="single" w:sz="6" w:space="1" w:color="auto"/>
        </w:pBdr>
        <w:bidi w:val="0"/>
        <w:spacing w:line="360" w:lineRule="auto"/>
        <w:jc w:val="both"/>
        <w:rPr>
          <w:rFonts w:cs="Simplified Arabic"/>
          <w:sz w:val="28"/>
          <w:szCs w:val="28"/>
        </w:rPr>
        <w:sectPr w:rsidR="00FC47B6" w:rsidRPr="009D189E" w:rsidSect="009D189E">
          <w:pgSz w:w="11906" w:h="16838"/>
          <w:pgMar w:top="1701" w:right="1701" w:bottom="1701" w:left="1701" w:header="709" w:footer="709" w:gutter="0"/>
          <w:cols w:space="708"/>
          <w:bidi/>
          <w:rtlGutter/>
          <w:docGrid w:linePitch="360"/>
        </w:sectPr>
      </w:pP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Introduction</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The definition of obesity may vary depending on the source of information, but most health care providers agree that, the individuals whose BMI exceeds the age-gender-specific 95</w:t>
      </w:r>
      <w:r w:rsidRPr="009D189E">
        <w:rPr>
          <w:rFonts w:cs="Simplified Arabic"/>
          <w:sz w:val="28"/>
          <w:szCs w:val="28"/>
          <w:vertAlign w:val="superscript"/>
        </w:rPr>
        <w:t>th</w:t>
      </w:r>
      <w:r w:rsidRPr="009D189E">
        <w:rPr>
          <w:rFonts w:cs="Simplified Arabic"/>
          <w:sz w:val="28"/>
          <w:szCs w:val="28"/>
        </w:rPr>
        <w:t xml:space="preserve"> percentile are obese. Those with BMI between the 85</w:t>
      </w:r>
      <w:r w:rsidRPr="009D189E">
        <w:rPr>
          <w:rFonts w:cs="Simplified Arabic"/>
          <w:sz w:val="28"/>
          <w:szCs w:val="28"/>
          <w:vertAlign w:val="superscript"/>
        </w:rPr>
        <w:t>th</w:t>
      </w:r>
      <w:r w:rsidRPr="009D189E">
        <w:rPr>
          <w:rFonts w:cs="Simplified Arabic"/>
          <w:sz w:val="28"/>
          <w:szCs w:val="28"/>
        </w:rPr>
        <w:t xml:space="preserve"> and 95</w:t>
      </w:r>
      <w:r w:rsidRPr="009D189E">
        <w:rPr>
          <w:rFonts w:cs="Simplified Arabic"/>
          <w:sz w:val="28"/>
          <w:szCs w:val="28"/>
          <w:vertAlign w:val="superscript"/>
        </w:rPr>
        <w:t>th</w:t>
      </w:r>
      <w:r w:rsidRPr="009D189E">
        <w:rPr>
          <w:rFonts w:cs="Simplified Arabic"/>
          <w:sz w:val="28"/>
          <w:szCs w:val="28"/>
        </w:rPr>
        <w:t xml:space="preserve"> percentiles are overweight and are at increased risk for obesity related co-morbidities. </w:t>
      </w:r>
      <w:r w:rsidRPr="009D189E">
        <w:rPr>
          <w:rFonts w:cs="Simplified Arabic"/>
          <w:sz w:val="28"/>
          <w:szCs w:val="28"/>
          <w:vertAlign w:val="superscript"/>
        </w:rPr>
        <w:t>(1)</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ab/>
        <w:t xml:space="preserve">Childhood obesity is often the result of interplay between many genetic and environmental factors. Polymorphisms in various genes controlling appetite and metabolism predispose individuals to obesity when sufficient calories are present. As such obesity is a major feature of a number of rare genetic conditions that often present in childhood. </w:t>
      </w:r>
      <w:r w:rsidRPr="009D189E">
        <w:rPr>
          <w:rFonts w:cs="Simplified Arabic"/>
          <w:sz w:val="28"/>
          <w:szCs w:val="28"/>
          <w:vertAlign w:val="superscript"/>
        </w:rPr>
        <w:t>(2)</w:t>
      </w:r>
    </w:p>
    <w:p w:rsidR="00FC47B6" w:rsidRPr="009D189E" w:rsidRDefault="00FC47B6" w:rsidP="009D189E">
      <w:pPr>
        <w:bidi w:val="0"/>
        <w:spacing w:line="360" w:lineRule="auto"/>
        <w:jc w:val="both"/>
        <w:rPr>
          <w:rFonts w:cs="Simplified Arabic"/>
          <w:i/>
          <w:iCs/>
          <w:sz w:val="28"/>
          <w:szCs w:val="28"/>
          <w:vertAlign w:val="superscript"/>
        </w:rPr>
      </w:pPr>
      <w:r w:rsidRPr="009D189E">
        <w:rPr>
          <w:rFonts w:cs="Simplified Arabic"/>
          <w:sz w:val="28"/>
          <w:szCs w:val="28"/>
        </w:rPr>
        <w:t>The worldwide prevalence of childhood overweight and obesity increased from 4.2% in 1990 to 6.7% in 2010. This trend is expected to reach 9.1%, or ’60 million, in 2020</w:t>
      </w:r>
      <w:r w:rsidRPr="009D189E">
        <w:rPr>
          <w:rFonts w:cs="Simplified Arabic"/>
          <w:i/>
          <w:iCs/>
          <w:sz w:val="28"/>
          <w:szCs w:val="28"/>
        </w:rPr>
        <w:t xml:space="preserve">. </w:t>
      </w:r>
      <w:r w:rsidRPr="009D189E">
        <w:rPr>
          <w:rFonts w:cs="Simplified Arabic"/>
          <w:sz w:val="28"/>
          <w:szCs w:val="28"/>
          <w:vertAlign w:val="superscript"/>
        </w:rPr>
        <w:t>(3)</w:t>
      </w:r>
      <w:r w:rsidRPr="009D189E">
        <w:rPr>
          <w:rFonts w:cs="Simplified Arabic"/>
          <w:sz w:val="28"/>
          <w:szCs w:val="28"/>
          <w:rtl/>
        </w:rPr>
        <w:t xml:space="preserve"> </w:t>
      </w:r>
      <w:r w:rsidRPr="009D189E">
        <w:rPr>
          <w:rFonts w:cs="Simplified Arabic"/>
          <w:sz w:val="28"/>
          <w:szCs w:val="28"/>
        </w:rPr>
        <w:t xml:space="preserve">In Egypt the prevalence of overweight and obesity in children has reached 20.5%. </w:t>
      </w:r>
      <w:r w:rsidRPr="009D189E">
        <w:rPr>
          <w:rFonts w:cs="Simplified Arabic"/>
          <w:sz w:val="28"/>
          <w:szCs w:val="28"/>
          <w:vertAlign w:val="superscript"/>
        </w:rPr>
        <w:t>(4)</w:t>
      </w:r>
    </w:p>
    <w:p w:rsidR="00FC47B6" w:rsidRPr="009D189E" w:rsidRDefault="00FC47B6" w:rsidP="009D189E">
      <w:pPr>
        <w:bidi w:val="0"/>
        <w:spacing w:line="360" w:lineRule="auto"/>
        <w:jc w:val="both"/>
        <w:rPr>
          <w:rFonts w:cs="Simplified Arabic"/>
          <w:i/>
          <w:iCs/>
          <w:sz w:val="28"/>
          <w:szCs w:val="28"/>
        </w:rPr>
      </w:pPr>
      <w:r w:rsidRPr="009D189E">
        <w:rPr>
          <w:rFonts w:cs="Simplified Arabic"/>
          <w:sz w:val="28"/>
          <w:szCs w:val="28"/>
        </w:rPr>
        <w:t xml:space="preserve">BMI is used as a screening tool to identify possible weight problems for children. Centre for Disease Control and Prevention (CDC) and the American Academy of Pediatrics (AAP) recommend the use of BMI to screen for overweight in children beginning at 2 years old as it is inexpensive and easy to be performed. </w:t>
      </w:r>
      <w:r w:rsidRPr="009D189E">
        <w:rPr>
          <w:rFonts w:cs="Simplified Arabic"/>
          <w:sz w:val="28"/>
          <w:szCs w:val="28"/>
          <w:vertAlign w:val="superscript"/>
        </w:rPr>
        <w:t>(5)</w:t>
      </w:r>
      <w:r w:rsidRPr="009D189E">
        <w:rPr>
          <w:rFonts w:cs="Simplified Arabic"/>
          <w:sz w:val="28"/>
          <w:szCs w:val="28"/>
        </w:rPr>
        <w:t xml:space="preserve"> The BMI of children changes with age and differs between the sexes, so must be considered in an age- and sex-specific way. In practice, this means comparing with population reference data using percentiles or standard deviation scores (SDS or ‘Z’ scores). </w:t>
      </w:r>
      <w:r w:rsidRPr="009D189E">
        <w:rPr>
          <w:rFonts w:cs="Simplified Arabic"/>
          <w:sz w:val="28"/>
          <w:szCs w:val="28"/>
          <w:vertAlign w:val="superscript"/>
        </w:rPr>
        <w:t>(6)</w:t>
      </w:r>
    </w:p>
    <w:p w:rsidR="00FC47B6" w:rsidRPr="009D189E" w:rsidRDefault="00FC47B6" w:rsidP="009D189E">
      <w:pPr>
        <w:tabs>
          <w:tab w:val="left" w:pos="284"/>
        </w:tabs>
        <w:bidi w:val="0"/>
        <w:spacing w:line="360" w:lineRule="auto"/>
        <w:jc w:val="both"/>
        <w:rPr>
          <w:rFonts w:cs="Simplified Arabic"/>
          <w:i/>
          <w:iCs/>
          <w:sz w:val="28"/>
          <w:szCs w:val="28"/>
        </w:rPr>
      </w:pPr>
      <w:r w:rsidRPr="009D189E">
        <w:rPr>
          <w:rFonts w:cs="Simplified Arabic"/>
          <w:sz w:val="28"/>
          <w:szCs w:val="28"/>
        </w:rPr>
        <w:tab/>
        <w:t xml:space="preserve">Obesity is clearly a multifactorial condition, with many biological, genetic, social and environmental influences affecting its development. </w:t>
      </w:r>
      <w:r w:rsidRPr="009D189E">
        <w:rPr>
          <w:rFonts w:cs="Simplified Arabic"/>
          <w:sz w:val="28"/>
          <w:szCs w:val="28"/>
          <w:vertAlign w:val="superscript"/>
        </w:rPr>
        <w:t>(7)</w:t>
      </w:r>
    </w:p>
    <w:p w:rsidR="00FC47B6" w:rsidRPr="009D189E" w:rsidRDefault="00FC47B6" w:rsidP="009D189E">
      <w:pPr>
        <w:tabs>
          <w:tab w:val="left" w:pos="284"/>
        </w:tabs>
        <w:bidi w:val="0"/>
        <w:spacing w:line="360" w:lineRule="auto"/>
        <w:jc w:val="both"/>
        <w:rPr>
          <w:rFonts w:cs="Simplified Arabic"/>
          <w:color w:val="231F20"/>
          <w:sz w:val="28"/>
          <w:szCs w:val="28"/>
        </w:rPr>
      </w:pPr>
      <w:r w:rsidRPr="009D189E">
        <w:rPr>
          <w:rFonts w:cs="Simplified Arabic"/>
          <w:noProof/>
          <w:sz w:val="28"/>
          <w:szCs w:val="28"/>
        </w:rPr>
        <w:t xml:space="preserve">Trace elements are those elements present in the body in concentrations of less than 0.001% of total body weight. Fourteen trace elements have been recognized to be of nutritional importance to mammals. These include zinc, magnesium, iron, iodine, copper, cobalt, manganese, selenium, chromium, nickel, silicon, fluorine, vanadium, molybderum and tin. </w:t>
      </w:r>
      <w:r w:rsidRPr="009D189E">
        <w:rPr>
          <w:rFonts w:cs="Simplified Arabic"/>
          <w:noProof/>
          <w:sz w:val="28"/>
          <w:szCs w:val="28"/>
          <w:vertAlign w:val="superscript"/>
        </w:rPr>
        <w:t>(8)</w:t>
      </w:r>
      <w:r w:rsidRPr="009D189E">
        <w:rPr>
          <w:rFonts w:cs="Simplified Arabic"/>
          <w:noProof/>
          <w:sz w:val="28"/>
          <w:szCs w:val="28"/>
        </w:rPr>
        <w:t xml:space="preserve"> Trace elements are involved in the development of obesity and its complications, but their status has seldom been studied in young obese.  </w:t>
      </w:r>
      <w:r w:rsidRPr="009D189E">
        <w:rPr>
          <w:rFonts w:cs="Simplified Arabic"/>
          <w:noProof/>
          <w:sz w:val="28"/>
          <w:szCs w:val="28"/>
          <w:vertAlign w:val="superscript"/>
        </w:rPr>
        <w:t>(9)</w:t>
      </w:r>
      <w:r w:rsidRPr="009D189E">
        <w:rPr>
          <w:rFonts w:cs="Simplified Arabic"/>
          <w:color w:val="231F20"/>
          <w:sz w:val="28"/>
          <w:szCs w:val="28"/>
        </w:rPr>
        <w:t xml:space="preserve"> Consequent to abnormal metabolism, micronutrient deficiencies are common in obese individuals across all age groups. </w:t>
      </w:r>
      <w:r w:rsidRPr="009D189E">
        <w:rPr>
          <w:rFonts w:cs="Simplified Arabic"/>
          <w:color w:val="231F20"/>
          <w:sz w:val="28"/>
          <w:szCs w:val="28"/>
          <w:vertAlign w:val="superscript"/>
        </w:rPr>
        <w:t>(10)</w:t>
      </w:r>
    </w:p>
    <w:p w:rsidR="00FC47B6" w:rsidRPr="009D189E" w:rsidRDefault="00FC47B6" w:rsidP="009D189E">
      <w:pPr>
        <w:tabs>
          <w:tab w:val="left" w:pos="284"/>
        </w:tabs>
        <w:bidi w:val="0"/>
        <w:spacing w:line="360" w:lineRule="auto"/>
        <w:jc w:val="both"/>
        <w:rPr>
          <w:rFonts w:cs="Simplified Arabic"/>
          <w:sz w:val="28"/>
          <w:szCs w:val="28"/>
        </w:rPr>
      </w:pPr>
      <w:r w:rsidRPr="009D189E">
        <w:rPr>
          <w:rFonts w:cs="Simplified Arabic"/>
          <w:sz w:val="28"/>
          <w:szCs w:val="28"/>
        </w:rPr>
        <w:t>Methodology:</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ab/>
        <w:t>This study was conducted on 40 obese children and adolescents who were attending Pediatric Obesity Clinic, Children's Hospital, Ain Shams University during the period from September 2011 to April 2012. Patients were compared to 40 healthy; age-, sex- and pubertal stage- matched children and adolescents serving as controls.</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Inclusion criteria included:</w:t>
      </w:r>
    </w:p>
    <w:p w:rsidR="00FC47B6" w:rsidRPr="009D189E" w:rsidRDefault="00FC47B6" w:rsidP="009D189E">
      <w:pPr>
        <w:numPr>
          <w:ilvl w:val="0"/>
          <w:numId w:val="3"/>
        </w:numPr>
        <w:bidi w:val="0"/>
        <w:spacing w:line="360" w:lineRule="auto"/>
        <w:ind w:left="0"/>
        <w:jc w:val="lowKashida"/>
        <w:rPr>
          <w:rFonts w:cs="Simplified Arabic"/>
          <w:sz w:val="28"/>
          <w:szCs w:val="28"/>
        </w:rPr>
      </w:pPr>
      <w:r w:rsidRPr="009D189E">
        <w:rPr>
          <w:rFonts w:cs="Simplified Arabic"/>
          <w:sz w:val="28"/>
          <w:szCs w:val="28"/>
        </w:rPr>
        <w:t>Age ranging from 6 to12 years old.</w:t>
      </w:r>
    </w:p>
    <w:p w:rsidR="00FC47B6" w:rsidRPr="009D189E" w:rsidRDefault="00FC47B6" w:rsidP="009D189E">
      <w:pPr>
        <w:numPr>
          <w:ilvl w:val="0"/>
          <w:numId w:val="3"/>
        </w:numPr>
        <w:bidi w:val="0"/>
        <w:spacing w:line="360" w:lineRule="auto"/>
        <w:ind w:left="0"/>
        <w:jc w:val="lowKashida"/>
        <w:rPr>
          <w:rFonts w:cs="Simplified Arabic"/>
          <w:sz w:val="28"/>
          <w:szCs w:val="28"/>
        </w:rPr>
      </w:pPr>
      <w:r w:rsidRPr="009D189E">
        <w:rPr>
          <w:rFonts w:cs="Simplified Arabic"/>
          <w:sz w:val="28"/>
          <w:szCs w:val="28"/>
        </w:rPr>
        <w:t>Cases of simple obesity.</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Exclusion criteria included:</w:t>
      </w:r>
    </w:p>
    <w:p w:rsidR="00FC47B6" w:rsidRPr="009D189E" w:rsidRDefault="00FC47B6" w:rsidP="009D189E">
      <w:pPr>
        <w:numPr>
          <w:ilvl w:val="0"/>
          <w:numId w:val="4"/>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Children with any associated medical illness</w:t>
      </w:r>
    </w:p>
    <w:p w:rsidR="00FC47B6" w:rsidRPr="009D189E" w:rsidRDefault="00FC47B6" w:rsidP="009D189E">
      <w:pPr>
        <w:numPr>
          <w:ilvl w:val="0"/>
          <w:numId w:val="4"/>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History of intake of drugs interfering with serum zinc, iron, Copper and magnesium.</w:t>
      </w:r>
    </w:p>
    <w:p w:rsidR="00FC47B6" w:rsidRPr="009D189E" w:rsidRDefault="00FC47B6" w:rsidP="009D189E">
      <w:pPr>
        <w:numPr>
          <w:ilvl w:val="0"/>
          <w:numId w:val="4"/>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obese children due to endocrinal or syndromic causes</w:t>
      </w:r>
    </w:p>
    <w:p w:rsidR="00FC47B6" w:rsidRPr="009D189E" w:rsidRDefault="00FC47B6" w:rsidP="009D189E">
      <w:pPr>
        <w:numPr>
          <w:ilvl w:val="0"/>
          <w:numId w:val="4"/>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All subjects were subjected to:</w:t>
      </w:r>
    </w:p>
    <w:p w:rsidR="00FC47B6" w:rsidRPr="009D189E" w:rsidRDefault="00FC47B6" w:rsidP="009D189E">
      <w:pPr>
        <w:numPr>
          <w:ilvl w:val="0"/>
          <w:numId w:val="6"/>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Full history taking; laying stress on age, sex and socioeconomic status.</w:t>
      </w:r>
    </w:p>
    <w:p w:rsidR="00FC47B6" w:rsidRPr="009D189E" w:rsidRDefault="00FC47B6" w:rsidP="009D189E">
      <w:pPr>
        <w:tabs>
          <w:tab w:val="left" w:pos="284"/>
        </w:tabs>
        <w:autoSpaceDE w:val="0"/>
        <w:autoSpaceDN w:val="0"/>
        <w:bidi w:val="0"/>
        <w:adjustRightInd w:val="0"/>
        <w:spacing w:line="360" w:lineRule="auto"/>
        <w:jc w:val="both"/>
        <w:rPr>
          <w:rFonts w:cs="Simplified Arabic"/>
          <w:color w:val="000000"/>
          <w:sz w:val="28"/>
          <w:szCs w:val="28"/>
        </w:rPr>
      </w:pPr>
      <w:r w:rsidRPr="009D189E">
        <w:rPr>
          <w:rFonts w:cs="Simplified Arabic"/>
          <w:sz w:val="28"/>
          <w:szCs w:val="28"/>
        </w:rPr>
        <w:t xml:space="preserve">The socioeconomic status of each child was determined through the answers of a standard questionnaire. The questionnaire included </w:t>
      </w:r>
      <w:r w:rsidRPr="009D189E">
        <w:rPr>
          <w:rFonts w:cs="Simplified Arabic"/>
          <w:color w:val="000000"/>
          <w:sz w:val="28"/>
          <w:szCs w:val="28"/>
        </w:rPr>
        <w:t xml:space="preserve">income per person within the family, father’s occupation, father’s education and mother’s occupation. </w:t>
      </w:r>
      <w:r w:rsidRPr="009D189E">
        <w:rPr>
          <w:rFonts w:cs="Simplified Arabic"/>
          <w:color w:val="000000"/>
          <w:sz w:val="28"/>
          <w:szCs w:val="28"/>
          <w:vertAlign w:val="superscript"/>
        </w:rPr>
        <w:t>(11)</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Full clinical examination laying stress on:</w:t>
      </w:r>
    </w:p>
    <w:p w:rsidR="00FC47B6" w:rsidRPr="009D189E" w:rsidRDefault="00FC47B6" w:rsidP="009D189E">
      <w:pPr>
        <w:numPr>
          <w:ilvl w:val="1"/>
          <w:numId w:val="6"/>
        </w:numPr>
        <w:tabs>
          <w:tab w:val="left" w:pos="284"/>
        </w:tabs>
        <w:autoSpaceDE w:val="0"/>
        <w:autoSpaceDN w:val="0"/>
        <w:bidi w:val="0"/>
        <w:adjustRightInd w:val="0"/>
        <w:spacing w:line="360" w:lineRule="auto"/>
        <w:ind w:left="0"/>
        <w:jc w:val="both"/>
        <w:rPr>
          <w:rFonts w:cs="Simplified Arabic"/>
          <w:sz w:val="28"/>
          <w:szCs w:val="28"/>
        </w:rPr>
      </w:pPr>
      <w:r w:rsidRPr="009D189E">
        <w:rPr>
          <w:rFonts w:cs="Simplified Arabic"/>
          <w:sz w:val="28"/>
          <w:szCs w:val="28"/>
        </w:rPr>
        <w:t>Anthropometric and auxologic measurements which include:</w:t>
      </w:r>
      <w:r w:rsidRPr="009D189E">
        <w:rPr>
          <w:rFonts w:cs="Simplified Arabic"/>
          <w:sz w:val="28"/>
          <w:szCs w:val="28"/>
          <w:rtl/>
        </w:rPr>
        <w:t>-</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 xml:space="preserve">-Weight which was measured with a digital scale in kilograms and to the nearest 0.1 kg with the subjects standing motionless without shoes and with minimal clothing. Weight SDS was calculated according to the norms of Tanner et al., </w:t>
      </w:r>
      <w:r w:rsidRPr="009D189E">
        <w:rPr>
          <w:rFonts w:cs="Simplified Arabic"/>
          <w:sz w:val="28"/>
          <w:szCs w:val="28"/>
          <w:vertAlign w:val="superscript"/>
        </w:rPr>
        <w:t>(12)</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tl/>
        </w:rPr>
        <w:t>-</w:t>
      </w:r>
      <w:r w:rsidRPr="009D189E">
        <w:rPr>
          <w:rFonts w:cs="Simplified Arabic"/>
          <w:sz w:val="28"/>
          <w:szCs w:val="28"/>
        </w:rPr>
        <w:t xml:space="preserve">Height which was measured to the nearest 0.1 cm on a wall mounted stadiometer also without   shoes. Height SDS was calculated according to the norms of Tanner et al, </w:t>
      </w:r>
      <w:r w:rsidRPr="009D189E">
        <w:rPr>
          <w:rFonts w:cs="Simplified Arabic"/>
          <w:sz w:val="28"/>
          <w:szCs w:val="28"/>
          <w:vertAlign w:val="superscript"/>
        </w:rPr>
        <w:t>(12)</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BMI was calculated as follows:</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vertAlign w:val="superscript"/>
        </w:rPr>
      </w:pPr>
      <w:r w:rsidRPr="009D189E">
        <w:rPr>
          <w:rFonts w:cs="Simplified Arabic"/>
          <w:sz w:val="28"/>
          <w:szCs w:val="28"/>
        </w:rPr>
        <w:t>BMI= Mass (Kg) / (Height (m))</w:t>
      </w:r>
      <w:r w:rsidRPr="009D189E">
        <w:rPr>
          <w:rFonts w:cs="Simplified Arabic"/>
          <w:sz w:val="28"/>
          <w:szCs w:val="28"/>
          <w:vertAlign w:val="superscript"/>
        </w:rPr>
        <w:t>2</w:t>
      </w:r>
    </w:p>
    <w:p w:rsidR="00FC47B6" w:rsidRPr="009D189E" w:rsidRDefault="00FC47B6" w:rsidP="009D189E">
      <w:pPr>
        <w:tabs>
          <w:tab w:val="left" w:pos="284"/>
        </w:tabs>
        <w:autoSpaceDE w:val="0"/>
        <w:autoSpaceDN w:val="0"/>
        <w:bidi w:val="0"/>
        <w:adjustRightInd w:val="0"/>
        <w:spacing w:line="360" w:lineRule="auto"/>
        <w:jc w:val="both"/>
        <w:rPr>
          <w:rFonts w:cs="Simplified Arabic"/>
          <w:color w:val="000000"/>
          <w:sz w:val="28"/>
          <w:szCs w:val="28"/>
          <w:u w:val="single"/>
        </w:rPr>
      </w:pPr>
      <w:r w:rsidRPr="009D189E">
        <w:rPr>
          <w:rFonts w:cs="Simplified Arabic"/>
          <w:color w:val="000000"/>
          <w:sz w:val="28"/>
          <w:szCs w:val="28"/>
        </w:rPr>
        <w:t xml:space="preserve">BMI SDS was calculated according to the norms of </w:t>
      </w:r>
      <w:r w:rsidRPr="009D189E">
        <w:rPr>
          <w:rFonts w:cs="Simplified Arabic"/>
          <w:i/>
          <w:iCs/>
          <w:color w:val="000000"/>
          <w:sz w:val="28"/>
          <w:szCs w:val="28"/>
        </w:rPr>
        <w:t xml:space="preserve">Cole et al., </w:t>
      </w:r>
      <w:r w:rsidRPr="009D189E">
        <w:rPr>
          <w:rFonts w:cs="Simplified Arabic"/>
          <w:color w:val="000000"/>
          <w:sz w:val="28"/>
          <w:szCs w:val="28"/>
          <w:vertAlign w:val="superscript"/>
        </w:rPr>
        <w:t>(13)</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Triceps and subscapular skin fold thickness together with calculation of their SDS’s.</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Waist/hip ratio</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tl/>
        </w:rPr>
      </w:pPr>
      <w:r w:rsidRPr="009D189E">
        <w:rPr>
          <w:rFonts w:cs="Simplified Arabic"/>
          <w:sz w:val="28"/>
          <w:szCs w:val="28"/>
        </w:rPr>
        <w:t xml:space="preserve">The waist was measured simply at the smallest circumference of the natural waist, usually just above the belly button, and the hip circumference may likewise be measured at its widest part of the buttocks or hip.  In case the waist is convex rather than concave, the waist may be measured at a horizontal level 1 inch above the navel. </w:t>
      </w:r>
      <w:r w:rsidRPr="009D189E">
        <w:rPr>
          <w:rFonts w:cs="Simplified Arabic"/>
          <w:sz w:val="28"/>
          <w:szCs w:val="28"/>
          <w:vertAlign w:val="superscript"/>
        </w:rPr>
        <w:t>(14)</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u w:val="single"/>
        </w:rPr>
      </w:pPr>
      <w:r w:rsidRPr="009D189E">
        <w:rPr>
          <w:rFonts w:cs="Simplified Arabic"/>
          <w:sz w:val="28"/>
          <w:szCs w:val="28"/>
        </w:rPr>
        <w:t xml:space="preserve">Sexual maturity rating according to Marshall &amp; Tanner. </w:t>
      </w:r>
      <w:r w:rsidRPr="009D189E">
        <w:rPr>
          <w:rFonts w:cs="Simplified Arabic"/>
          <w:sz w:val="28"/>
          <w:szCs w:val="28"/>
          <w:vertAlign w:val="superscript"/>
        </w:rPr>
        <w:t>(15)</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Laboratory Investigations:</w:t>
      </w:r>
    </w:p>
    <w:p w:rsidR="00FC47B6" w:rsidRPr="009D189E" w:rsidRDefault="00FC47B6" w:rsidP="009D189E">
      <w:pPr>
        <w:bidi w:val="0"/>
        <w:spacing w:line="360" w:lineRule="auto"/>
        <w:jc w:val="both"/>
        <w:rPr>
          <w:rFonts w:cs="Simplified Arabic"/>
          <w:i/>
          <w:iCs/>
          <w:color w:val="000000"/>
          <w:sz w:val="28"/>
          <w:szCs w:val="28"/>
          <w:shd w:val="clear" w:color="auto" w:fill="FFFFFF"/>
        </w:rPr>
      </w:pPr>
      <w:r w:rsidRPr="009D189E">
        <w:rPr>
          <w:rFonts w:cs="Simplified Arabic"/>
          <w:sz w:val="28"/>
          <w:szCs w:val="28"/>
        </w:rPr>
        <w:t>All subjects are instructed to fast (8-10 h) and the sample was taken in early morning to measure sera level of Copper (</w:t>
      </w:r>
      <w:r w:rsidRPr="009D189E">
        <w:rPr>
          <w:rFonts w:cs="Simplified Arabic"/>
          <w:color w:val="000000"/>
          <w:sz w:val="28"/>
          <w:szCs w:val="28"/>
        </w:rPr>
        <w:t>67-147 μg/dl)</w:t>
      </w:r>
      <w:r w:rsidRPr="009D189E">
        <w:rPr>
          <w:rFonts w:cs="Simplified Arabic"/>
          <w:sz w:val="28"/>
          <w:szCs w:val="28"/>
        </w:rPr>
        <w:t>, Iron (</w:t>
      </w:r>
      <w:r w:rsidRPr="009D189E">
        <w:rPr>
          <w:rFonts w:cs="Simplified Arabic"/>
          <w:color w:val="000000"/>
          <w:sz w:val="28"/>
          <w:szCs w:val="28"/>
          <w:rtl/>
        </w:rPr>
        <w:t>53</w:t>
      </w:r>
      <w:r w:rsidRPr="009D189E">
        <w:rPr>
          <w:rFonts w:cs="Simplified Arabic"/>
          <w:color w:val="000000"/>
          <w:sz w:val="28"/>
          <w:szCs w:val="28"/>
        </w:rPr>
        <w:t xml:space="preserve">-119 μg/dl), Magnesium (1.5-2.3mg/dl) and Zinc (66-144 μg/dl). </w:t>
      </w:r>
      <w:r w:rsidRPr="009D189E">
        <w:rPr>
          <w:rFonts w:cs="Simplified Arabic"/>
          <w:color w:val="000000"/>
          <w:sz w:val="28"/>
          <w:szCs w:val="28"/>
          <w:vertAlign w:val="superscript"/>
        </w:rPr>
        <w:t>(16)</w:t>
      </w:r>
    </w:p>
    <w:p w:rsidR="00FC47B6" w:rsidRPr="009D189E" w:rsidRDefault="00FC47B6" w:rsidP="009D189E">
      <w:pPr>
        <w:bidi w:val="0"/>
        <w:spacing w:line="360" w:lineRule="auto"/>
        <w:jc w:val="both"/>
        <w:rPr>
          <w:rFonts w:cs="Simplified Arabic"/>
          <w:i/>
          <w:iCs/>
          <w:sz w:val="28"/>
          <w:szCs w:val="28"/>
        </w:rPr>
      </w:pPr>
      <w:r w:rsidRPr="009D189E">
        <w:rPr>
          <w:rFonts w:cs="Simplified Arabic"/>
          <w:i/>
          <w:iCs/>
          <w:sz w:val="28"/>
          <w:szCs w:val="28"/>
        </w:rPr>
        <w:t>Statistical analysis of data was done using SPSS v.15.</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Results</w:t>
      </w:r>
    </w:p>
    <w:p w:rsidR="00FC47B6" w:rsidRPr="009D189E" w:rsidRDefault="00FC47B6" w:rsidP="009D189E">
      <w:pPr>
        <w:tabs>
          <w:tab w:val="left" w:pos="284"/>
        </w:tabs>
        <w:autoSpaceDE w:val="0"/>
        <w:autoSpaceDN w:val="0"/>
        <w:bidi w:val="0"/>
        <w:adjustRightInd w:val="0"/>
        <w:spacing w:line="360" w:lineRule="auto"/>
        <w:jc w:val="both"/>
        <w:rPr>
          <w:rFonts w:cs="Simplified Arabic"/>
          <w:sz w:val="28"/>
          <w:szCs w:val="28"/>
        </w:rPr>
      </w:pPr>
      <w:r w:rsidRPr="009D189E">
        <w:rPr>
          <w:rFonts w:cs="Simplified Arabic"/>
          <w:sz w:val="28"/>
          <w:szCs w:val="28"/>
        </w:rPr>
        <w:t>Patients were compared to 40 healthy; age-, sex- and pubertal stage- matched children and adolescents serving as controls.</w:t>
      </w:r>
    </w:p>
    <w:p w:rsidR="00FC47B6" w:rsidRPr="009D189E" w:rsidRDefault="00FC47B6" w:rsidP="009D189E">
      <w:pPr>
        <w:bidi w:val="0"/>
        <w:spacing w:line="360" w:lineRule="auto"/>
        <w:jc w:val="both"/>
        <w:rPr>
          <w:rFonts w:cs="Simplified Arabic"/>
          <w:sz w:val="28"/>
          <w:szCs w:val="28"/>
          <w:u w:val="single"/>
        </w:rPr>
      </w:pPr>
      <w:r w:rsidRPr="009D189E">
        <w:rPr>
          <w:rFonts w:cs="Simplified Arabic"/>
          <w:sz w:val="28"/>
          <w:szCs w:val="28"/>
          <w:u w:val="single"/>
        </w:rPr>
        <w:t>Table (1): Comparison of sex distribution among cases and controls:</w:t>
      </w:r>
    </w:p>
    <w:p w:rsidR="00FC47B6" w:rsidRPr="009D189E" w:rsidRDefault="00FC47B6" w:rsidP="009D189E">
      <w:pPr>
        <w:bidi w:val="0"/>
        <w:spacing w:line="360" w:lineRule="auto"/>
        <w:jc w:val="both"/>
        <w:rPr>
          <w:rFonts w:cs="Simplified Arabic"/>
          <w:sz w:val="28"/>
          <w:szCs w:val="28"/>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150"/>
        <w:gridCol w:w="1014"/>
        <w:gridCol w:w="1181"/>
        <w:gridCol w:w="846"/>
        <w:gridCol w:w="986"/>
      </w:tblGrid>
      <w:tr w:rsidR="00FC47B6" w:rsidRPr="009D189E" w:rsidTr="00897F0B">
        <w:trPr>
          <w:jc w:val="center"/>
        </w:trPr>
        <w:tc>
          <w:tcPr>
            <w:tcW w:w="966"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Sex</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N (%)</w:t>
            </w:r>
          </w:p>
        </w:tc>
        <w:tc>
          <w:tcPr>
            <w:tcW w:w="1014"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Cases</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(n= 40)</w:t>
            </w:r>
          </w:p>
        </w:tc>
        <w:tc>
          <w:tcPr>
            <w:tcW w:w="1080"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Controls</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(n= 40)</w:t>
            </w:r>
          </w:p>
        </w:tc>
        <w:tc>
          <w:tcPr>
            <w:tcW w:w="810"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X</w:t>
            </w:r>
            <w:r w:rsidRPr="009D189E">
              <w:rPr>
                <w:rFonts w:cs="Simplified Arabic"/>
                <w:sz w:val="28"/>
                <w:szCs w:val="28"/>
                <w:vertAlign w:val="superscript"/>
              </w:rPr>
              <w:t>2</w:t>
            </w:r>
          </w:p>
        </w:tc>
        <w:tc>
          <w:tcPr>
            <w:tcW w:w="900"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i/>
                <w:iCs/>
                <w:sz w:val="28"/>
                <w:szCs w:val="28"/>
              </w:rPr>
              <w:t>p</w:t>
            </w:r>
            <w:r w:rsidRPr="009D189E">
              <w:rPr>
                <w:rFonts w:cs="Simplified Arabic"/>
                <w:sz w:val="28"/>
                <w:szCs w:val="28"/>
              </w:rPr>
              <w:t xml:space="preserve"> value</w:t>
            </w:r>
          </w:p>
        </w:tc>
      </w:tr>
      <w:tr w:rsidR="00FC47B6" w:rsidRPr="009D189E" w:rsidTr="00897F0B">
        <w:trPr>
          <w:trHeight w:val="710"/>
          <w:jc w:val="center"/>
        </w:trPr>
        <w:tc>
          <w:tcPr>
            <w:tcW w:w="966"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Male</w:t>
            </w:r>
          </w:p>
          <w:p w:rsidR="00FC47B6" w:rsidRPr="009D189E" w:rsidRDefault="00FC47B6" w:rsidP="009D189E">
            <w:pPr>
              <w:bidi w:val="0"/>
              <w:spacing w:line="360" w:lineRule="auto"/>
              <w:jc w:val="center"/>
              <w:rPr>
                <w:rFonts w:cs="Simplified Arabic"/>
                <w:sz w:val="28"/>
                <w:szCs w:val="28"/>
              </w:rPr>
            </w:pPr>
          </w:p>
        </w:tc>
        <w:tc>
          <w:tcPr>
            <w:tcW w:w="1014"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24 (60)</w:t>
            </w:r>
          </w:p>
          <w:p w:rsidR="00FC47B6" w:rsidRPr="009D189E" w:rsidRDefault="00FC47B6" w:rsidP="009D189E">
            <w:pPr>
              <w:bidi w:val="0"/>
              <w:spacing w:line="360" w:lineRule="auto"/>
              <w:jc w:val="center"/>
              <w:rPr>
                <w:rFonts w:cs="Simplified Arabic"/>
                <w:sz w:val="28"/>
                <w:szCs w:val="28"/>
              </w:rPr>
            </w:pPr>
          </w:p>
        </w:tc>
        <w:tc>
          <w:tcPr>
            <w:tcW w:w="1080"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20 (50)</w:t>
            </w:r>
          </w:p>
          <w:p w:rsidR="00FC47B6" w:rsidRPr="009D189E" w:rsidRDefault="00FC47B6" w:rsidP="009D189E">
            <w:pPr>
              <w:bidi w:val="0"/>
              <w:spacing w:line="360" w:lineRule="auto"/>
              <w:jc w:val="center"/>
              <w:rPr>
                <w:rFonts w:cs="Simplified Arabic"/>
                <w:sz w:val="28"/>
                <w:szCs w:val="28"/>
              </w:rPr>
            </w:pPr>
          </w:p>
        </w:tc>
        <w:tc>
          <w:tcPr>
            <w:tcW w:w="810" w:type="dxa"/>
            <w:vMerge w:val="restart"/>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0.808</w:t>
            </w:r>
          </w:p>
          <w:p w:rsidR="00FC47B6" w:rsidRPr="009D189E" w:rsidRDefault="00FC47B6" w:rsidP="009D189E">
            <w:pPr>
              <w:bidi w:val="0"/>
              <w:spacing w:line="360" w:lineRule="auto"/>
              <w:jc w:val="center"/>
              <w:rPr>
                <w:rFonts w:cs="Simplified Arabic"/>
                <w:sz w:val="28"/>
                <w:szCs w:val="28"/>
              </w:rPr>
            </w:pPr>
          </w:p>
        </w:tc>
        <w:tc>
          <w:tcPr>
            <w:tcW w:w="900" w:type="dxa"/>
            <w:vMerge w:val="restart"/>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0.3687</w:t>
            </w:r>
          </w:p>
          <w:p w:rsidR="00FC47B6" w:rsidRPr="009D189E" w:rsidRDefault="00FC47B6" w:rsidP="009D189E">
            <w:pPr>
              <w:bidi w:val="0"/>
              <w:spacing w:line="360" w:lineRule="auto"/>
              <w:jc w:val="center"/>
              <w:rPr>
                <w:rFonts w:cs="Simplified Arabic"/>
                <w:sz w:val="28"/>
                <w:szCs w:val="28"/>
              </w:rPr>
            </w:pPr>
          </w:p>
        </w:tc>
      </w:tr>
      <w:tr w:rsidR="00FC47B6" w:rsidRPr="009D189E" w:rsidTr="00897F0B">
        <w:trPr>
          <w:jc w:val="center"/>
        </w:trPr>
        <w:tc>
          <w:tcPr>
            <w:tcW w:w="966" w:type="dxa"/>
            <w:tcBorders>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Females</w:t>
            </w:r>
          </w:p>
          <w:p w:rsidR="00FC47B6" w:rsidRPr="009D189E" w:rsidRDefault="00FC47B6" w:rsidP="009D189E">
            <w:pPr>
              <w:bidi w:val="0"/>
              <w:spacing w:line="360" w:lineRule="auto"/>
              <w:jc w:val="center"/>
              <w:rPr>
                <w:rFonts w:cs="Simplified Arabic"/>
                <w:sz w:val="28"/>
                <w:szCs w:val="28"/>
              </w:rPr>
            </w:pPr>
          </w:p>
        </w:tc>
        <w:tc>
          <w:tcPr>
            <w:tcW w:w="1014" w:type="dxa"/>
            <w:tcBorders>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16 (40)</w:t>
            </w:r>
          </w:p>
          <w:p w:rsidR="00FC47B6" w:rsidRPr="009D189E" w:rsidRDefault="00FC47B6" w:rsidP="009D189E">
            <w:pPr>
              <w:bidi w:val="0"/>
              <w:spacing w:line="360" w:lineRule="auto"/>
              <w:jc w:val="center"/>
              <w:rPr>
                <w:rFonts w:cs="Simplified Arabic"/>
                <w:sz w:val="28"/>
                <w:szCs w:val="28"/>
              </w:rPr>
            </w:pPr>
          </w:p>
        </w:tc>
        <w:tc>
          <w:tcPr>
            <w:tcW w:w="1080" w:type="dxa"/>
            <w:tcBorders>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20 (50)</w:t>
            </w:r>
          </w:p>
          <w:p w:rsidR="00FC47B6" w:rsidRPr="009D189E" w:rsidRDefault="00FC47B6" w:rsidP="009D189E">
            <w:pPr>
              <w:bidi w:val="0"/>
              <w:spacing w:line="360" w:lineRule="auto"/>
              <w:jc w:val="center"/>
              <w:rPr>
                <w:rFonts w:cs="Simplified Arabic"/>
                <w:sz w:val="28"/>
                <w:szCs w:val="28"/>
              </w:rPr>
            </w:pPr>
          </w:p>
        </w:tc>
        <w:tc>
          <w:tcPr>
            <w:tcW w:w="810" w:type="dxa"/>
            <w:vMerge/>
            <w:tcBorders>
              <w:bottom w:val="single" w:sz="12" w:space="0" w:color="auto"/>
            </w:tcBorders>
          </w:tcPr>
          <w:p w:rsidR="00FC47B6" w:rsidRPr="009D189E" w:rsidRDefault="00FC47B6" w:rsidP="009D189E">
            <w:pPr>
              <w:bidi w:val="0"/>
              <w:spacing w:line="360" w:lineRule="auto"/>
              <w:jc w:val="center"/>
              <w:rPr>
                <w:rFonts w:cs="Simplified Arabic"/>
                <w:sz w:val="28"/>
                <w:szCs w:val="28"/>
              </w:rPr>
            </w:pPr>
          </w:p>
        </w:tc>
        <w:tc>
          <w:tcPr>
            <w:tcW w:w="900" w:type="dxa"/>
            <w:vMerge/>
            <w:tcBorders>
              <w:bottom w:val="single" w:sz="12" w:space="0" w:color="auto"/>
            </w:tcBorders>
          </w:tcPr>
          <w:p w:rsidR="00FC47B6" w:rsidRPr="009D189E" w:rsidRDefault="00FC47B6" w:rsidP="009D189E">
            <w:pPr>
              <w:bidi w:val="0"/>
              <w:spacing w:line="360" w:lineRule="auto"/>
              <w:jc w:val="center"/>
              <w:rPr>
                <w:rFonts w:cs="Simplified Arabic"/>
                <w:sz w:val="28"/>
                <w:szCs w:val="28"/>
              </w:rPr>
            </w:pPr>
          </w:p>
        </w:tc>
      </w:tr>
    </w:tbl>
    <w:p w:rsidR="00FC47B6" w:rsidRPr="009D189E" w:rsidRDefault="00FC47B6" w:rsidP="009D189E">
      <w:pPr>
        <w:autoSpaceDE w:val="0"/>
        <w:autoSpaceDN w:val="0"/>
        <w:bidi w:val="0"/>
        <w:adjustRightInd w:val="0"/>
        <w:spacing w:line="360" w:lineRule="auto"/>
        <w:jc w:val="both"/>
        <w:rPr>
          <w:rFonts w:cs="Simplified Arabic"/>
          <w:sz w:val="28"/>
          <w:szCs w:val="28"/>
        </w:rPr>
      </w:pPr>
    </w:p>
    <w:p w:rsidR="00FC47B6" w:rsidRPr="009D189E" w:rsidRDefault="00FC47B6" w:rsidP="009D189E">
      <w:pPr>
        <w:autoSpaceDE w:val="0"/>
        <w:autoSpaceDN w:val="0"/>
        <w:bidi w:val="0"/>
        <w:adjustRightInd w:val="0"/>
        <w:spacing w:line="360" w:lineRule="auto"/>
        <w:jc w:val="both"/>
        <w:rPr>
          <w:rFonts w:cs="Simplified Arabic"/>
          <w:sz w:val="28"/>
          <w:szCs w:val="28"/>
        </w:rPr>
      </w:pPr>
      <w:r w:rsidRPr="009D189E">
        <w:rPr>
          <w:rFonts w:cs="Simplified Arabic"/>
          <w:sz w:val="28"/>
          <w:szCs w:val="28"/>
        </w:rPr>
        <w:t>The study included 24 male cases, 16 female cases, 20 female controls and 20 control females, the difference was insignificant, as in table (1).</w:t>
      </w:r>
    </w:p>
    <w:p w:rsidR="00FC47B6" w:rsidRPr="009D189E" w:rsidRDefault="00FC47B6" w:rsidP="009D189E">
      <w:pPr>
        <w:autoSpaceDE w:val="0"/>
        <w:autoSpaceDN w:val="0"/>
        <w:bidi w:val="0"/>
        <w:adjustRightInd w:val="0"/>
        <w:spacing w:line="360" w:lineRule="auto"/>
        <w:jc w:val="both"/>
        <w:rPr>
          <w:rFonts w:cs="Simplified Arabic"/>
          <w:sz w:val="28"/>
          <w:szCs w:val="28"/>
          <w:u w:val="single"/>
        </w:rPr>
      </w:pPr>
      <w:r w:rsidRPr="009D189E">
        <w:rPr>
          <w:rFonts w:cs="Simplified Arabic"/>
          <w:sz w:val="28"/>
          <w:szCs w:val="28"/>
          <w:u w:val="single"/>
        </w:rPr>
        <w:t>Table (2): Comparison of clinical characteristics among cases and controls:</w:t>
      </w:r>
    </w:p>
    <w:p w:rsidR="00FC47B6" w:rsidRPr="009D189E" w:rsidRDefault="00FC47B6" w:rsidP="009D189E">
      <w:pPr>
        <w:bidi w:val="0"/>
        <w:spacing w:line="360" w:lineRule="auto"/>
        <w:jc w:val="both"/>
        <w:rPr>
          <w:rFonts w:cs="Simplified Arabic"/>
          <w:sz w:val="28"/>
          <w:szCs w:val="28"/>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2693"/>
        <w:gridCol w:w="1514"/>
        <w:gridCol w:w="1570"/>
        <w:gridCol w:w="1105"/>
        <w:gridCol w:w="1266"/>
      </w:tblGrid>
      <w:tr w:rsidR="00FC47B6" w:rsidRPr="009D189E" w:rsidTr="00897F0B">
        <w:trPr>
          <w:trHeight w:val="557"/>
          <w:jc w:val="center"/>
        </w:trPr>
        <w:tc>
          <w:tcPr>
            <w:tcW w:w="2693" w:type="dxa"/>
            <w:tcBorders>
              <w:top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Mean±SD</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(Range)</w:t>
            </w:r>
          </w:p>
        </w:tc>
        <w:tc>
          <w:tcPr>
            <w:tcW w:w="1514" w:type="dxa"/>
            <w:tcBorders>
              <w:top w:val="single" w:sz="12" w:space="0" w:color="auto"/>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Cases</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(n= 40)</w:t>
            </w:r>
          </w:p>
        </w:tc>
        <w:tc>
          <w:tcPr>
            <w:tcW w:w="1570" w:type="dxa"/>
            <w:tcBorders>
              <w:top w:val="single" w:sz="12" w:space="0" w:color="auto"/>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Controls</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(n= 40)</w:t>
            </w:r>
          </w:p>
        </w:tc>
        <w:tc>
          <w:tcPr>
            <w:tcW w:w="1105" w:type="dxa"/>
            <w:tcBorders>
              <w:top w:val="single" w:sz="12" w:space="0" w:color="auto"/>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t</w:t>
            </w:r>
          </w:p>
        </w:tc>
        <w:tc>
          <w:tcPr>
            <w:tcW w:w="1050" w:type="dxa"/>
            <w:tcBorders>
              <w:top w:val="single" w:sz="12" w:space="0" w:color="auto"/>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i/>
                <w:iCs/>
                <w:sz w:val="28"/>
                <w:szCs w:val="28"/>
              </w:rPr>
              <w:t>p</w:t>
            </w:r>
            <w:r w:rsidRPr="009D189E">
              <w:rPr>
                <w:rFonts w:cs="Simplified Arabic"/>
                <w:sz w:val="28"/>
                <w:szCs w:val="28"/>
              </w:rPr>
              <w:t xml:space="preserve"> </w:t>
            </w:r>
          </w:p>
        </w:tc>
      </w:tr>
      <w:tr w:rsidR="00FC47B6" w:rsidRPr="009D189E" w:rsidTr="00897F0B">
        <w:trPr>
          <w:trHeight w:val="224"/>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Age (years)</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9.25 ± 2.07</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(6-12)</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9.28 ± 2.1</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(6-12)</w:t>
            </w:r>
          </w:p>
        </w:tc>
        <w:tc>
          <w:tcPr>
            <w:tcW w:w="1105" w:type="dxa"/>
            <w:tcBorders>
              <w:right w:val="single" w:sz="12" w:space="0" w:color="auto"/>
            </w:tcBorders>
          </w:tcPr>
          <w:p w:rsidR="00FC47B6" w:rsidRPr="009D189E" w:rsidRDefault="00FC47B6" w:rsidP="009D189E">
            <w:pPr>
              <w:tabs>
                <w:tab w:val="left" w:pos="284"/>
                <w:tab w:val="left" w:pos="804"/>
              </w:tabs>
              <w:autoSpaceDE w:val="0"/>
              <w:autoSpaceDN w:val="0"/>
              <w:bidi w:val="0"/>
              <w:adjustRightInd w:val="0"/>
              <w:spacing w:line="360" w:lineRule="auto"/>
              <w:rPr>
                <w:rFonts w:cs="Simplified Arabic"/>
                <w:sz w:val="28"/>
                <w:szCs w:val="28"/>
              </w:rPr>
            </w:pPr>
            <w:r w:rsidRPr="009D189E">
              <w:rPr>
                <w:rFonts w:cs="Simplified Arabic"/>
                <w:sz w:val="28"/>
                <w:szCs w:val="28"/>
              </w:rPr>
              <w:tab/>
              <w:t>0.06</w:t>
            </w:r>
            <w:r w:rsidRPr="009D189E">
              <w:rPr>
                <w:rFonts w:cs="Simplified Arabic"/>
                <w:sz w:val="28"/>
                <w:szCs w:val="28"/>
              </w:rPr>
              <w:tab/>
            </w:r>
          </w:p>
        </w:tc>
        <w:tc>
          <w:tcPr>
            <w:tcW w:w="1050" w:type="dxa"/>
            <w:tcBorders>
              <w:left w:val="single" w:sz="12" w:space="0" w:color="auto"/>
            </w:tcBorders>
          </w:tcPr>
          <w:p w:rsidR="00FC47B6" w:rsidRPr="009D189E" w:rsidRDefault="00FC47B6" w:rsidP="009D189E">
            <w:pPr>
              <w:tabs>
                <w:tab w:val="left" w:pos="284"/>
                <w:tab w:val="left" w:pos="80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0.94</w:t>
            </w:r>
          </w:p>
        </w:tc>
      </w:tr>
      <w:tr w:rsidR="00FC47B6" w:rsidRPr="009D189E" w:rsidTr="00897F0B">
        <w:trPr>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Socioeconomic score</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133.8 ± 22.62</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(78 – 175)</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121.9 ± 25.5</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(45 – 162)</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2.20</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0.03*</w:t>
            </w:r>
          </w:p>
        </w:tc>
      </w:tr>
      <w:tr w:rsidR="00FC47B6" w:rsidRPr="009D189E" w:rsidTr="00897F0B">
        <w:trPr>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Height SDS</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0.21 ± 0.95</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-0.66-2.28</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0.067 ± 0.74</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(-1.6-1.82)</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0.75</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0.45</w:t>
            </w:r>
          </w:p>
        </w:tc>
      </w:tr>
      <w:tr w:rsidR="00FC47B6" w:rsidRPr="009D189E" w:rsidTr="00897F0B">
        <w:trPr>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BMI (kg/m</w:t>
            </w:r>
            <w:r w:rsidRPr="009D189E">
              <w:rPr>
                <w:rFonts w:cs="Simplified Arabic"/>
                <w:sz w:val="28"/>
                <w:szCs w:val="28"/>
                <w:vertAlign w:val="superscript"/>
              </w:rPr>
              <w:t>2</w:t>
            </w:r>
            <w:r w:rsidRPr="009D189E">
              <w:rPr>
                <w:rFonts w:cs="Simplified Arabic"/>
                <w:sz w:val="28"/>
                <w:szCs w:val="28"/>
              </w:rPr>
              <w:t>)</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29.6 ± 4.5</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(25.52 - 42.79)</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17.5 ± 1.62</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(14.88 - 20.74)</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16</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0.0001**</w:t>
            </w:r>
          </w:p>
        </w:tc>
      </w:tr>
      <w:tr w:rsidR="00FC47B6" w:rsidRPr="009D189E" w:rsidTr="00897F0B">
        <w:trPr>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BMI SDS</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3.32 ± 0.64</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2.18 - 4.59</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0.39±0.51</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(-0.8 - 1.3)</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22.64</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0.0001**</w:t>
            </w:r>
          </w:p>
        </w:tc>
      </w:tr>
      <w:tr w:rsidR="00FC47B6" w:rsidRPr="009D189E" w:rsidTr="00897F0B">
        <w:trPr>
          <w:trHeight w:val="584"/>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Triceps skin fold thickness (mm)</w:t>
            </w: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21.9 ± 3.64</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(16 – 30)</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9.4 ± 2.3)</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(7 – 15)</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18.36</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0.0001**</w:t>
            </w:r>
          </w:p>
        </w:tc>
      </w:tr>
      <w:tr w:rsidR="00FC47B6" w:rsidRPr="009D189E" w:rsidTr="00897F0B">
        <w:tblPrEx>
          <w:tblLook w:val="0000"/>
        </w:tblPrEx>
        <w:trPr>
          <w:trHeight w:val="477"/>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Subscapular skin fold thickness (mm)</w:t>
            </w:r>
          </w:p>
        </w:tc>
        <w:tc>
          <w:tcPr>
            <w:tcW w:w="1514"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21.15 ± 3.64</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(16 – 35)</w:t>
            </w:r>
          </w:p>
        </w:tc>
        <w:tc>
          <w:tcPr>
            <w:tcW w:w="157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 xml:space="preserve"> 6.4 ± 1.6</w:t>
            </w:r>
          </w:p>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(5-11)</w:t>
            </w:r>
          </w:p>
        </w:tc>
        <w:tc>
          <w:tcPr>
            <w:tcW w:w="1105"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u w:val="single"/>
              </w:rPr>
            </w:pPr>
            <w:r w:rsidRPr="009D189E">
              <w:rPr>
                <w:rFonts w:cs="Simplified Arabic"/>
                <w:sz w:val="28"/>
                <w:szCs w:val="28"/>
              </w:rPr>
              <w:t>23.46</w:t>
            </w:r>
          </w:p>
        </w:tc>
        <w:tc>
          <w:tcPr>
            <w:tcW w:w="105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u w:val="single"/>
              </w:rPr>
            </w:pPr>
            <w:r w:rsidRPr="009D189E">
              <w:rPr>
                <w:rFonts w:cs="Simplified Arabic"/>
                <w:sz w:val="28"/>
                <w:szCs w:val="28"/>
              </w:rPr>
              <w:t>0.0001**</w:t>
            </w:r>
          </w:p>
        </w:tc>
      </w:tr>
      <w:tr w:rsidR="00FC47B6" w:rsidRPr="009D189E" w:rsidTr="00897F0B">
        <w:tblPrEx>
          <w:tblLook w:val="0000"/>
        </w:tblPrEx>
        <w:trPr>
          <w:trHeight w:val="503"/>
          <w:jc w:val="center"/>
        </w:trPr>
        <w:tc>
          <w:tcPr>
            <w:tcW w:w="2693"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Waist circumference (cm)</w:t>
            </w:r>
            <w:r w:rsidRPr="009D189E">
              <w:rPr>
                <w:rFonts w:cs="Simplified Arabic"/>
                <w:i/>
                <w:iCs/>
                <w:sz w:val="28"/>
                <w:szCs w:val="28"/>
              </w:rPr>
              <w:t xml:space="preserve"> </w:t>
            </w:r>
          </w:p>
        </w:tc>
        <w:tc>
          <w:tcPr>
            <w:tcW w:w="1514"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87.18±9.59</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(68-111)</w:t>
            </w:r>
          </w:p>
        </w:tc>
        <w:tc>
          <w:tcPr>
            <w:tcW w:w="1570" w:type="dxa"/>
            <w:tcBorders>
              <w:left w:val="single" w:sz="12" w:space="0" w:color="auto"/>
            </w:tcBorders>
          </w:tcPr>
          <w:p w:rsidR="00FC47B6" w:rsidRPr="009D189E" w:rsidRDefault="00FC47B6" w:rsidP="009D189E">
            <w:pPr>
              <w:tabs>
                <w:tab w:val="left" w:pos="1039"/>
              </w:tabs>
              <w:bidi w:val="0"/>
              <w:spacing w:line="360" w:lineRule="auto"/>
              <w:jc w:val="center"/>
              <w:rPr>
                <w:rFonts w:cs="Simplified Arabic"/>
                <w:sz w:val="28"/>
                <w:szCs w:val="28"/>
              </w:rPr>
            </w:pPr>
            <w:r w:rsidRPr="009D189E">
              <w:rPr>
                <w:rFonts w:cs="Simplified Arabic"/>
                <w:sz w:val="28"/>
                <w:szCs w:val="28"/>
              </w:rPr>
              <w:t>61.33±6.88</w:t>
            </w:r>
          </w:p>
          <w:p w:rsidR="00FC47B6" w:rsidRPr="009D189E" w:rsidRDefault="00FC47B6" w:rsidP="009D189E">
            <w:pPr>
              <w:tabs>
                <w:tab w:val="left" w:pos="1039"/>
              </w:tabs>
              <w:bidi w:val="0"/>
              <w:spacing w:line="360" w:lineRule="auto"/>
              <w:jc w:val="center"/>
              <w:rPr>
                <w:rFonts w:cs="Simplified Arabic"/>
                <w:sz w:val="28"/>
                <w:szCs w:val="28"/>
              </w:rPr>
            </w:pPr>
            <w:r w:rsidRPr="009D189E">
              <w:rPr>
                <w:rFonts w:cs="Simplified Arabic"/>
                <w:sz w:val="28"/>
                <w:szCs w:val="28"/>
              </w:rPr>
              <w:t>(49-78)</w:t>
            </w:r>
          </w:p>
        </w:tc>
        <w:tc>
          <w:tcPr>
            <w:tcW w:w="1105" w:type="dxa"/>
            <w:tcBorders>
              <w:right w:val="single" w:sz="12" w:space="0" w:color="auto"/>
            </w:tcBorders>
          </w:tcPr>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13.85</w:t>
            </w:r>
          </w:p>
        </w:tc>
        <w:tc>
          <w:tcPr>
            <w:tcW w:w="1050" w:type="dxa"/>
            <w:tcBorders>
              <w:left w:val="single" w:sz="12" w:space="0" w:color="auto"/>
            </w:tcBorders>
          </w:tcPr>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0.0001**</w:t>
            </w:r>
          </w:p>
        </w:tc>
      </w:tr>
      <w:tr w:rsidR="00FC47B6" w:rsidRPr="009D189E" w:rsidTr="00897F0B">
        <w:tblPrEx>
          <w:tblLook w:val="0000"/>
        </w:tblPrEx>
        <w:trPr>
          <w:trHeight w:val="593"/>
          <w:jc w:val="center"/>
        </w:trPr>
        <w:tc>
          <w:tcPr>
            <w:tcW w:w="2693" w:type="dxa"/>
            <w:tcBorders>
              <w:bottom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Waist/hip ratio</w:t>
            </w:r>
          </w:p>
        </w:tc>
        <w:tc>
          <w:tcPr>
            <w:tcW w:w="1514" w:type="dxa"/>
            <w:tcBorders>
              <w:bottom w:val="single" w:sz="18"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0.91±0.04</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(0.81-1)</w:t>
            </w:r>
          </w:p>
        </w:tc>
        <w:tc>
          <w:tcPr>
            <w:tcW w:w="1570" w:type="dxa"/>
            <w:tcBorders>
              <w:left w:val="single" w:sz="12" w:space="0" w:color="auto"/>
              <w:bottom w:val="single" w:sz="12" w:space="0" w:color="auto"/>
              <w:right w:val="single" w:sz="18"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0.87±0.05</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(0.71-1.1)</w:t>
            </w:r>
          </w:p>
        </w:tc>
        <w:tc>
          <w:tcPr>
            <w:tcW w:w="1105" w:type="dxa"/>
            <w:tcBorders>
              <w:left w:val="single" w:sz="18" w:space="0" w:color="auto"/>
              <w:bottom w:val="single" w:sz="18" w:space="0" w:color="auto"/>
              <w:right w:val="single" w:sz="12" w:space="0" w:color="auto"/>
            </w:tcBorders>
          </w:tcPr>
          <w:p w:rsidR="00FC47B6" w:rsidRPr="009D189E" w:rsidRDefault="00FC47B6" w:rsidP="009D189E">
            <w:pPr>
              <w:bidi w:val="0"/>
              <w:spacing w:line="360" w:lineRule="auto"/>
              <w:jc w:val="center"/>
              <w:rPr>
                <w:rFonts w:cs="Simplified Arabic"/>
                <w:sz w:val="28"/>
                <w:szCs w:val="28"/>
                <w:u w:val="single"/>
              </w:rPr>
            </w:pPr>
            <w:r w:rsidRPr="009D189E">
              <w:rPr>
                <w:rFonts w:cs="Simplified Arabic"/>
                <w:sz w:val="28"/>
                <w:szCs w:val="28"/>
              </w:rPr>
              <w:t>3.95</w:t>
            </w:r>
          </w:p>
        </w:tc>
        <w:tc>
          <w:tcPr>
            <w:tcW w:w="1050" w:type="dxa"/>
            <w:tcBorders>
              <w:left w:val="single" w:sz="12" w:space="0" w:color="auto"/>
              <w:bottom w:val="single" w:sz="12" w:space="0" w:color="auto"/>
            </w:tcBorders>
          </w:tcPr>
          <w:p w:rsidR="00FC47B6" w:rsidRPr="009D189E" w:rsidRDefault="00FC47B6" w:rsidP="009D189E">
            <w:pPr>
              <w:bidi w:val="0"/>
              <w:spacing w:line="360" w:lineRule="auto"/>
              <w:jc w:val="center"/>
              <w:rPr>
                <w:rFonts w:cs="Simplified Arabic"/>
                <w:sz w:val="28"/>
                <w:szCs w:val="28"/>
                <w:u w:val="single"/>
              </w:rPr>
            </w:pPr>
            <w:r w:rsidRPr="009D189E">
              <w:rPr>
                <w:rFonts w:cs="Simplified Arabic"/>
                <w:sz w:val="28"/>
                <w:szCs w:val="28"/>
              </w:rPr>
              <w:t>0.0002**</w:t>
            </w:r>
          </w:p>
        </w:tc>
      </w:tr>
    </w:tbl>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Regarding clinical characteristics, there were significant differences between cases and controls except for age and height SDS that were statistically non-significant, as in table (2).</w:t>
      </w:r>
    </w:p>
    <w:p w:rsidR="00FC47B6" w:rsidRPr="009D189E" w:rsidRDefault="00FC47B6" w:rsidP="009D189E">
      <w:pPr>
        <w:bidi w:val="0"/>
        <w:spacing w:line="360" w:lineRule="auto"/>
        <w:ind w:firstLine="720"/>
        <w:jc w:val="both"/>
        <w:rPr>
          <w:rFonts w:cs="Simplified Arabic"/>
          <w:sz w:val="28"/>
          <w:szCs w:val="28"/>
          <w:u w:val="single"/>
        </w:rPr>
      </w:pPr>
      <w:r w:rsidRPr="009D189E">
        <w:rPr>
          <w:rFonts w:cs="Simplified Arabic"/>
          <w:sz w:val="28"/>
          <w:szCs w:val="28"/>
          <w:u w:val="single"/>
        </w:rPr>
        <w:t>Table (3): Comparison of trace elements among cases and controls:</w:t>
      </w:r>
    </w:p>
    <w:p w:rsidR="00FC47B6" w:rsidRPr="009D189E" w:rsidRDefault="00FC47B6" w:rsidP="009D189E">
      <w:pPr>
        <w:bidi w:val="0"/>
        <w:spacing w:line="360" w:lineRule="auto"/>
        <w:jc w:val="both"/>
        <w:rPr>
          <w:rFonts w:cs="Simplified Arabic"/>
          <w:sz w:val="28"/>
          <w:szCs w:val="28"/>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2130"/>
        <w:gridCol w:w="1524"/>
        <w:gridCol w:w="1815"/>
        <w:gridCol w:w="990"/>
        <w:gridCol w:w="1266"/>
      </w:tblGrid>
      <w:tr w:rsidR="00FC47B6" w:rsidRPr="009D189E" w:rsidTr="00897F0B">
        <w:trPr>
          <w:jc w:val="center"/>
        </w:trPr>
        <w:tc>
          <w:tcPr>
            <w:tcW w:w="2130" w:type="dxa"/>
            <w:tcBorders>
              <w:top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Mean±SD</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(Range)</w:t>
            </w:r>
          </w:p>
          <w:p w:rsidR="00FC47B6" w:rsidRPr="009D189E" w:rsidRDefault="00FC47B6" w:rsidP="009D189E">
            <w:pPr>
              <w:bidi w:val="0"/>
              <w:spacing w:line="360" w:lineRule="auto"/>
              <w:jc w:val="center"/>
              <w:rPr>
                <w:rFonts w:cs="Simplified Arabic"/>
                <w:sz w:val="28"/>
                <w:szCs w:val="28"/>
              </w:rPr>
            </w:pPr>
          </w:p>
        </w:tc>
        <w:tc>
          <w:tcPr>
            <w:tcW w:w="1524" w:type="dxa"/>
            <w:tcBorders>
              <w:top w:val="single" w:sz="12"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Cases</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(n= 40)</w:t>
            </w:r>
          </w:p>
        </w:tc>
        <w:tc>
          <w:tcPr>
            <w:tcW w:w="1815" w:type="dxa"/>
            <w:tcBorders>
              <w:top w:val="single" w:sz="12" w:space="0" w:color="auto"/>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Controls</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(n= 40)</w:t>
            </w:r>
          </w:p>
        </w:tc>
        <w:tc>
          <w:tcPr>
            <w:tcW w:w="990" w:type="dxa"/>
            <w:tcBorders>
              <w:top w:val="single" w:sz="12"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t</w:t>
            </w:r>
          </w:p>
        </w:tc>
        <w:tc>
          <w:tcPr>
            <w:tcW w:w="1084" w:type="dxa"/>
            <w:tcBorders>
              <w:top w:val="single" w:sz="12" w:space="0" w:color="auto"/>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i/>
                <w:iCs/>
                <w:sz w:val="28"/>
                <w:szCs w:val="28"/>
              </w:rPr>
              <w:t>p</w:t>
            </w:r>
            <w:r w:rsidRPr="009D189E">
              <w:rPr>
                <w:rFonts w:cs="Simplified Arabic"/>
                <w:sz w:val="28"/>
                <w:szCs w:val="28"/>
              </w:rPr>
              <w:t xml:space="preserve"> value</w:t>
            </w:r>
          </w:p>
        </w:tc>
      </w:tr>
      <w:tr w:rsidR="00FC47B6" w:rsidRPr="009D189E" w:rsidTr="00897F0B">
        <w:trPr>
          <w:jc w:val="center"/>
        </w:trPr>
        <w:tc>
          <w:tcPr>
            <w:tcW w:w="2130"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Zinc</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(66-144 μg/dl)</w:t>
            </w:r>
          </w:p>
        </w:tc>
        <w:tc>
          <w:tcPr>
            <w:tcW w:w="1524"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68.6 ± 10.81</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(52 – 90)</w:t>
            </w:r>
          </w:p>
        </w:tc>
        <w:tc>
          <w:tcPr>
            <w:tcW w:w="1815"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93.45 ± 8.61</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(70 – 108)</w:t>
            </w:r>
          </w:p>
        </w:tc>
        <w:tc>
          <w:tcPr>
            <w:tcW w:w="990"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11.37</w:t>
            </w:r>
          </w:p>
        </w:tc>
        <w:tc>
          <w:tcPr>
            <w:tcW w:w="1084"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0.0001**</w:t>
            </w:r>
          </w:p>
        </w:tc>
      </w:tr>
      <w:tr w:rsidR="00FC47B6" w:rsidRPr="009D189E" w:rsidTr="00897F0B">
        <w:trPr>
          <w:jc w:val="center"/>
        </w:trPr>
        <w:tc>
          <w:tcPr>
            <w:tcW w:w="2130"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Copper</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 xml:space="preserve">(67-147 </w:t>
            </w:r>
            <w:r w:rsidRPr="009D189E">
              <w:rPr>
                <w:rFonts w:cs="Simplified Arabic"/>
                <w:color w:val="000000"/>
                <w:sz w:val="28"/>
                <w:szCs w:val="28"/>
              </w:rPr>
              <w:t>μg/dl)</w:t>
            </w:r>
          </w:p>
        </w:tc>
        <w:tc>
          <w:tcPr>
            <w:tcW w:w="1524"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101.5 ± 19.83</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70 - 151</w:t>
            </w:r>
          </w:p>
        </w:tc>
        <w:tc>
          <w:tcPr>
            <w:tcW w:w="1815"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115.85 ± 14.72</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(88 – 146)</w:t>
            </w:r>
          </w:p>
        </w:tc>
        <w:tc>
          <w:tcPr>
            <w:tcW w:w="990"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3.67</w:t>
            </w:r>
          </w:p>
        </w:tc>
        <w:tc>
          <w:tcPr>
            <w:tcW w:w="1084"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0.0004*</w:t>
            </w:r>
          </w:p>
        </w:tc>
      </w:tr>
      <w:tr w:rsidR="00FC47B6" w:rsidRPr="009D189E" w:rsidTr="00897F0B">
        <w:trPr>
          <w:jc w:val="center"/>
        </w:trPr>
        <w:tc>
          <w:tcPr>
            <w:tcW w:w="2130"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Iron</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w:t>
            </w:r>
            <w:r w:rsidRPr="009D189E">
              <w:rPr>
                <w:rFonts w:cs="Simplified Arabic"/>
                <w:color w:val="000000"/>
                <w:sz w:val="28"/>
                <w:szCs w:val="28"/>
              </w:rPr>
              <w:t>53-119 μg/dl)</w:t>
            </w:r>
          </w:p>
        </w:tc>
        <w:tc>
          <w:tcPr>
            <w:tcW w:w="1524"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65.43 ± 21.16</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(45 – 119)</w:t>
            </w:r>
          </w:p>
        </w:tc>
        <w:tc>
          <w:tcPr>
            <w:tcW w:w="1815"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106.13 ±13.94</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(66 – 120)</w:t>
            </w:r>
          </w:p>
        </w:tc>
        <w:tc>
          <w:tcPr>
            <w:tcW w:w="990"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10.15</w:t>
            </w:r>
          </w:p>
        </w:tc>
        <w:tc>
          <w:tcPr>
            <w:tcW w:w="1084" w:type="dxa"/>
            <w:tcBorders>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0.0001**</w:t>
            </w:r>
          </w:p>
        </w:tc>
      </w:tr>
      <w:tr w:rsidR="00FC47B6" w:rsidRPr="009D189E" w:rsidTr="00897F0B">
        <w:trPr>
          <w:jc w:val="center"/>
        </w:trPr>
        <w:tc>
          <w:tcPr>
            <w:tcW w:w="2130" w:type="dxa"/>
            <w:tcBorders>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Magnesium</w:t>
            </w:r>
          </w:p>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w:t>
            </w:r>
            <w:r w:rsidRPr="009D189E">
              <w:rPr>
                <w:rFonts w:cs="Simplified Arabic"/>
                <w:color w:val="000000"/>
                <w:sz w:val="28"/>
                <w:szCs w:val="28"/>
              </w:rPr>
              <w:t>1.5-2.3 mg/dl)</w:t>
            </w:r>
          </w:p>
        </w:tc>
        <w:tc>
          <w:tcPr>
            <w:tcW w:w="1524" w:type="dxa"/>
            <w:tcBorders>
              <w:bottom w:val="single" w:sz="12"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1.92 ± 0.32</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(1.3 - 2.3)</w:t>
            </w:r>
          </w:p>
        </w:tc>
        <w:tc>
          <w:tcPr>
            <w:tcW w:w="1815" w:type="dxa"/>
            <w:tcBorders>
              <w:left w:val="single" w:sz="12" w:space="0" w:color="auto"/>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2.08 ± 0.18</w:t>
            </w:r>
          </w:p>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(1.8 - 2.3)</w:t>
            </w:r>
          </w:p>
        </w:tc>
        <w:tc>
          <w:tcPr>
            <w:tcW w:w="990" w:type="dxa"/>
            <w:tcBorders>
              <w:bottom w:val="single" w:sz="12"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2.75</w:t>
            </w:r>
          </w:p>
        </w:tc>
        <w:tc>
          <w:tcPr>
            <w:tcW w:w="1084" w:type="dxa"/>
            <w:tcBorders>
              <w:left w:val="single" w:sz="12" w:space="0" w:color="auto"/>
              <w:bottom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0.0073*</w:t>
            </w:r>
          </w:p>
        </w:tc>
      </w:tr>
    </w:tbl>
    <w:p w:rsidR="00FC47B6" w:rsidRPr="009D189E" w:rsidRDefault="00FC47B6" w:rsidP="009D189E">
      <w:pPr>
        <w:bidi w:val="0"/>
        <w:spacing w:line="360" w:lineRule="auto"/>
        <w:jc w:val="both"/>
        <w:rPr>
          <w:rFonts w:cs="Simplified Arabic"/>
          <w:sz w:val="28"/>
          <w:szCs w:val="28"/>
          <w:u w:val="single"/>
        </w:rPr>
      </w:pPr>
    </w:p>
    <w:p w:rsidR="00FC47B6" w:rsidRPr="009D189E" w:rsidRDefault="00FC47B6" w:rsidP="009D189E">
      <w:pPr>
        <w:bidi w:val="0"/>
        <w:spacing w:line="360" w:lineRule="auto"/>
        <w:ind w:firstLine="360"/>
        <w:jc w:val="both"/>
        <w:rPr>
          <w:rFonts w:cs="Simplified Arabic"/>
          <w:sz w:val="28"/>
          <w:szCs w:val="28"/>
        </w:rPr>
      </w:pPr>
      <w:r w:rsidRPr="009D189E">
        <w:rPr>
          <w:rFonts w:cs="Simplified Arabic"/>
          <w:sz w:val="28"/>
          <w:szCs w:val="28"/>
        </w:rPr>
        <w:t>All trace elements were significantly lower among cases than controls except for copper which was significantly higher among cases than controls, as in table (3).</w:t>
      </w:r>
    </w:p>
    <w:p w:rsidR="00FC47B6" w:rsidRPr="009D189E" w:rsidRDefault="00FC47B6" w:rsidP="009D189E">
      <w:pPr>
        <w:bidi w:val="0"/>
        <w:spacing w:line="360" w:lineRule="auto"/>
        <w:jc w:val="both"/>
        <w:rPr>
          <w:rFonts w:cs="Simplified Arabic"/>
          <w:sz w:val="28"/>
          <w:szCs w:val="28"/>
          <w:u w:val="single"/>
        </w:rPr>
      </w:pPr>
      <w:r w:rsidRPr="009D189E">
        <w:rPr>
          <w:rFonts w:cs="Simplified Arabic"/>
          <w:sz w:val="28"/>
          <w:szCs w:val="28"/>
          <w:u w:val="single"/>
        </w:rPr>
        <w:t>Table (4): Correlation between BMI SDS and clinical characteristics among studied cases:</w:t>
      </w:r>
    </w:p>
    <w:p w:rsidR="00FC47B6" w:rsidRPr="009D189E" w:rsidRDefault="00FC47B6" w:rsidP="009D189E">
      <w:pPr>
        <w:bidi w:val="0"/>
        <w:spacing w:line="360" w:lineRule="auto"/>
        <w:jc w:val="both"/>
        <w:rPr>
          <w:rFonts w:cs="Simplified Arabic"/>
          <w:sz w:val="28"/>
          <w:szCs w:val="28"/>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2845"/>
        <w:gridCol w:w="939"/>
        <w:gridCol w:w="1126"/>
      </w:tblGrid>
      <w:tr w:rsidR="00FC47B6" w:rsidRPr="009D189E" w:rsidTr="00897F0B">
        <w:trPr>
          <w:trHeight w:val="557"/>
          <w:jc w:val="center"/>
        </w:trPr>
        <w:tc>
          <w:tcPr>
            <w:tcW w:w="2845" w:type="dxa"/>
            <w:tcBorders>
              <w:top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Variable</w:t>
            </w:r>
          </w:p>
        </w:tc>
        <w:tc>
          <w:tcPr>
            <w:tcW w:w="939" w:type="dxa"/>
            <w:tcBorders>
              <w:top w:val="single" w:sz="12" w:space="0" w:color="auto"/>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r</w:t>
            </w:r>
          </w:p>
        </w:tc>
        <w:tc>
          <w:tcPr>
            <w:tcW w:w="1110" w:type="dxa"/>
            <w:tcBorders>
              <w:top w:val="single" w:sz="12" w:space="0" w:color="auto"/>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i/>
                <w:iCs/>
                <w:sz w:val="28"/>
                <w:szCs w:val="28"/>
              </w:rPr>
              <w:t>p</w:t>
            </w:r>
            <w:r w:rsidRPr="009D189E">
              <w:rPr>
                <w:rFonts w:cs="Simplified Arabic"/>
                <w:sz w:val="28"/>
                <w:szCs w:val="28"/>
              </w:rPr>
              <w:t xml:space="preserve"> value</w:t>
            </w:r>
          </w:p>
        </w:tc>
      </w:tr>
      <w:tr w:rsidR="00FC47B6" w:rsidRPr="009D189E" w:rsidTr="00897F0B">
        <w:trPr>
          <w:trHeight w:val="224"/>
          <w:jc w:val="center"/>
        </w:trPr>
        <w:tc>
          <w:tcPr>
            <w:tcW w:w="2845"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Age (years)</w:t>
            </w:r>
          </w:p>
        </w:tc>
        <w:tc>
          <w:tcPr>
            <w:tcW w:w="939"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0.60</w:t>
            </w:r>
          </w:p>
        </w:tc>
        <w:tc>
          <w:tcPr>
            <w:tcW w:w="111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0.000**</w:t>
            </w:r>
          </w:p>
        </w:tc>
      </w:tr>
      <w:tr w:rsidR="00FC47B6" w:rsidRPr="009D189E" w:rsidTr="00897F0B">
        <w:trPr>
          <w:jc w:val="center"/>
        </w:trPr>
        <w:tc>
          <w:tcPr>
            <w:tcW w:w="2845"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Socioeconomic score</w:t>
            </w:r>
          </w:p>
        </w:tc>
        <w:tc>
          <w:tcPr>
            <w:tcW w:w="939"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-0.19</w:t>
            </w:r>
          </w:p>
        </w:tc>
        <w:tc>
          <w:tcPr>
            <w:tcW w:w="111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0.222</w:t>
            </w:r>
          </w:p>
        </w:tc>
      </w:tr>
      <w:tr w:rsidR="00FC47B6" w:rsidRPr="009D189E" w:rsidTr="00897F0B">
        <w:trPr>
          <w:jc w:val="center"/>
        </w:trPr>
        <w:tc>
          <w:tcPr>
            <w:tcW w:w="2845"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Height SDS</w:t>
            </w:r>
          </w:p>
        </w:tc>
        <w:tc>
          <w:tcPr>
            <w:tcW w:w="939"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0.02</w:t>
            </w:r>
          </w:p>
        </w:tc>
        <w:tc>
          <w:tcPr>
            <w:tcW w:w="111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0.863</w:t>
            </w:r>
          </w:p>
        </w:tc>
      </w:tr>
      <w:tr w:rsidR="00FC47B6" w:rsidRPr="009D189E" w:rsidTr="00897F0B">
        <w:trPr>
          <w:trHeight w:val="584"/>
          <w:jc w:val="center"/>
        </w:trPr>
        <w:tc>
          <w:tcPr>
            <w:tcW w:w="2845"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Triceps skin fold thickness (mm)</w:t>
            </w:r>
          </w:p>
        </w:tc>
        <w:tc>
          <w:tcPr>
            <w:tcW w:w="939"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0.31</w:t>
            </w:r>
          </w:p>
        </w:tc>
        <w:tc>
          <w:tcPr>
            <w:tcW w:w="111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0.049*</w:t>
            </w:r>
          </w:p>
        </w:tc>
      </w:tr>
      <w:tr w:rsidR="00FC47B6" w:rsidRPr="009D189E" w:rsidTr="00897F0B">
        <w:tblPrEx>
          <w:tblLook w:val="0000"/>
        </w:tblPrEx>
        <w:trPr>
          <w:trHeight w:val="477"/>
          <w:jc w:val="center"/>
        </w:trPr>
        <w:tc>
          <w:tcPr>
            <w:tcW w:w="2845" w:type="dxa"/>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Subscapular skin fold thickness (mm)</w:t>
            </w:r>
          </w:p>
        </w:tc>
        <w:tc>
          <w:tcPr>
            <w:tcW w:w="939" w:type="dxa"/>
            <w:tcBorders>
              <w:righ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0.27</w:t>
            </w:r>
          </w:p>
        </w:tc>
        <w:tc>
          <w:tcPr>
            <w:tcW w:w="1110"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rPr>
            </w:pPr>
            <w:r w:rsidRPr="009D189E">
              <w:rPr>
                <w:rFonts w:cs="Simplified Arabic"/>
                <w:sz w:val="28"/>
                <w:szCs w:val="28"/>
              </w:rPr>
              <w:t>0.085</w:t>
            </w:r>
          </w:p>
        </w:tc>
      </w:tr>
      <w:tr w:rsidR="00FC47B6" w:rsidRPr="009D189E" w:rsidTr="00897F0B">
        <w:tblPrEx>
          <w:tblLook w:val="0000"/>
        </w:tblPrEx>
        <w:trPr>
          <w:trHeight w:val="516"/>
          <w:jc w:val="center"/>
        </w:trPr>
        <w:tc>
          <w:tcPr>
            <w:tcW w:w="2845" w:type="dxa"/>
            <w:tcBorders>
              <w:top w:val="single" w:sz="6"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highlight w:val="yellow"/>
              </w:rPr>
            </w:pPr>
            <w:r w:rsidRPr="009D189E">
              <w:rPr>
                <w:rFonts w:cs="Simplified Arabic"/>
                <w:sz w:val="28"/>
                <w:szCs w:val="28"/>
              </w:rPr>
              <w:t>Waist circumference (cm)</w:t>
            </w:r>
          </w:p>
        </w:tc>
        <w:tc>
          <w:tcPr>
            <w:tcW w:w="939" w:type="dxa"/>
            <w:tcBorders>
              <w:top w:val="single" w:sz="6" w:space="0" w:color="auto"/>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0.11</w:t>
            </w:r>
          </w:p>
        </w:tc>
        <w:tc>
          <w:tcPr>
            <w:tcW w:w="1110" w:type="dxa"/>
            <w:tcBorders>
              <w:top w:val="single" w:sz="6" w:space="0" w:color="auto"/>
              <w:lef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0.47</w:t>
            </w:r>
          </w:p>
        </w:tc>
      </w:tr>
      <w:tr w:rsidR="00FC47B6" w:rsidRPr="009D189E" w:rsidTr="00897F0B">
        <w:tblPrEx>
          <w:tblBorders>
            <w:top w:val="single" w:sz="4" w:space="0" w:color="auto"/>
            <w:left w:val="single" w:sz="4" w:space="0" w:color="auto"/>
            <w:bottom w:val="single" w:sz="4" w:space="0" w:color="auto"/>
            <w:right w:val="single" w:sz="4" w:space="0" w:color="auto"/>
          </w:tblBorders>
          <w:tblLook w:val="0000"/>
        </w:tblPrEx>
        <w:trPr>
          <w:trHeight w:val="484"/>
          <w:jc w:val="center"/>
        </w:trPr>
        <w:tc>
          <w:tcPr>
            <w:tcW w:w="2845" w:type="dxa"/>
            <w:tcBorders>
              <w:left w:val="single" w:sz="12" w:space="0" w:color="auto"/>
            </w:tcBorders>
          </w:tcPr>
          <w:p w:rsidR="00FC47B6" w:rsidRPr="009D189E" w:rsidRDefault="00FC47B6" w:rsidP="009D189E">
            <w:pPr>
              <w:tabs>
                <w:tab w:val="left" w:pos="284"/>
              </w:tabs>
              <w:autoSpaceDE w:val="0"/>
              <w:autoSpaceDN w:val="0"/>
              <w:bidi w:val="0"/>
              <w:adjustRightInd w:val="0"/>
              <w:spacing w:line="360" w:lineRule="auto"/>
              <w:jc w:val="center"/>
              <w:rPr>
                <w:rFonts w:cs="Simplified Arabic"/>
                <w:sz w:val="28"/>
                <w:szCs w:val="28"/>
                <w:highlight w:val="yellow"/>
              </w:rPr>
            </w:pPr>
            <w:r w:rsidRPr="009D189E">
              <w:rPr>
                <w:rFonts w:cs="Simplified Arabic"/>
                <w:sz w:val="28"/>
                <w:szCs w:val="28"/>
              </w:rPr>
              <w:t>Waist  /hip ratio</w:t>
            </w:r>
          </w:p>
        </w:tc>
        <w:tc>
          <w:tcPr>
            <w:tcW w:w="939" w:type="dxa"/>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0.09</w:t>
            </w:r>
          </w:p>
        </w:tc>
        <w:tc>
          <w:tcPr>
            <w:tcW w:w="1110" w:type="dxa"/>
            <w:tcBorders>
              <w:right w:val="single" w:sz="12" w:space="0" w:color="auto"/>
            </w:tcBorders>
          </w:tcPr>
          <w:p w:rsidR="00FC47B6" w:rsidRPr="009D189E" w:rsidRDefault="00FC47B6" w:rsidP="009D189E">
            <w:pPr>
              <w:bidi w:val="0"/>
              <w:spacing w:line="360" w:lineRule="auto"/>
              <w:jc w:val="center"/>
              <w:rPr>
                <w:rFonts w:cs="Simplified Arabic"/>
                <w:sz w:val="28"/>
                <w:szCs w:val="28"/>
              </w:rPr>
            </w:pPr>
            <w:r w:rsidRPr="009D189E">
              <w:rPr>
                <w:rFonts w:cs="Simplified Arabic"/>
                <w:sz w:val="28"/>
                <w:szCs w:val="28"/>
              </w:rPr>
              <w:t>0.57</w:t>
            </w:r>
          </w:p>
        </w:tc>
      </w:tr>
    </w:tbl>
    <w:p w:rsidR="00FC47B6" w:rsidRPr="009D189E" w:rsidRDefault="00FC47B6" w:rsidP="009D189E">
      <w:pPr>
        <w:bidi w:val="0"/>
        <w:spacing w:line="360" w:lineRule="auto"/>
        <w:jc w:val="both"/>
        <w:rPr>
          <w:rFonts w:cs="Simplified Arabic"/>
          <w:i/>
          <w:iCs/>
          <w:sz w:val="28"/>
          <w:szCs w:val="28"/>
        </w:rPr>
      </w:pPr>
    </w:p>
    <w:p w:rsidR="00FC47B6" w:rsidRPr="009D189E" w:rsidRDefault="00FC47B6" w:rsidP="009D189E">
      <w:pPr>
        <w:bidi w:val="0"/>
        <w:spacing w:line="360" w:lineRule="auto"/>
        <w:jc w:val="both"/>
        <w:rPr>
          <w:rFonts w:cs="Simplified Arabic"/>
          <w:sz w:val="28"/>
          <w:szCs w:val="28"/>
        </w:rPr>
      </w:pPr>
      <w:r w:rsidRPr="009D189E">
        <w:rPr>
          <w:rFonts w:cs="Simplified Arabic"/>
          <w:i/>
          <w:iCs/>
          <w:sz w:val="28"/>
          <w:szCs w:val="28"/>
        </w:rPr>
        <w:t>SD: standard deviation</w:t>
      </w:r>
      <w:r w:rsidRPr="009D189E">
        <w:rPr>
          <w:rFonts w:cs="Simplified Arabic"/>
          <w:sz w:val="28"/>
          <w:szCs w:val="28"/>
        </w:rPr>
        <w:t xml:space="preserve">, </w:t>
      </w:r>
      <w:r w:rsidRPr="009D189E">
        <w:rPr>
          <w:rFonts w:cs="Simplified Arabic"/>
          <w:i/>
          <w:iCs/>
          <w:sz w:val="28"/>
          <w:szCs w:val="28"/>
        </w:rPr>
        <w:t>p value ≤ 0.05: *statistically significant, p value&gt;0.05: statistically insignificant, p value ≤ 0.001** highly statistically significant</w:t>
      </w:r>
    </w:p>
    <w:p w:rsidR="00FC47B6" w:rsidRPr="009D189E" w:rsidRDefault="00FC47B6" w:rsidP="009D189E">
      <w:pPr>
        <w:bidi w:val="0"/>
        <w:spacing w:line="360" w:lineRule="auto"/>
        <w:jc w:val="both"/>
        <w:rPr>
          <w:rFonts w:cs="Simplified Arabic"/>
          <w:sz w:val="28"/>
          <w:szCs w:val="28"/>
        </w:rPr>
      </w:pPr>
      <w:r w:rsidRPr="009D189E">
        <w:rPr>
          <w:rFonts w:cs="Simplified Arabic"/>
          <w:noProof/>
          <w:sz w:val="28"/>
          <w:szCs w:val="28"/>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37.5pt;height:201.75pt;visibility:visible">
            <v:imagedata r:id="rId5" o:title=""/>
            <o:lock v:ext="edit" aspectratio="f"/>
          </v:shape>
        </w:pic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Figure (1): Correlation between BMI SDS and the age of studied cases</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There were significant positive correlation between BMI SDS and each of age and triceps skin fold thickness, while others parameters didn’t correlate with BMI SDS, as in table (4), figure (1).</w:t>
      </w:r>
    </w:p>
    <w:p w:rsidR="00FC47B6" w:rsidRPr="009D189E" w:rsidRDefault="00FC47B6" w:rsidP="009D189E">
      <w:pPr>
        <w:bidi w:val="0"/>
        <w:spacing w:line="360" w:lineRule="auto"/>
        <w:jc w:val="both"/>
        <w:rPr>
          <w:rFonts w:cs="Simplified Arabic"/>
          <w:sz w:val="28"/>
          <w:szCs w:val="28"/>
          <w:u w:val="single"/>
        </w:rPr>
      </w:pPr>
      <w:r w:rsidRPr="009D189E">
        <w:rPr>
          <w:rFonts w:cs="Simplified Arabic"/>
          <w:sz w:val="28"/>
          <w:szCs w:val="28"/>
          <w:u w:val="single"/>
        </w:rPr>
        <w:t xml:space="preserve">Table (5): </w:t>
      </w:r>
      <w:hyperlink r:id="rId6" w:tooltip="Logistic regression" w:history="1">
        <w:r w:rsidRPr="009D189E">
          <w:rPr>
            <w:rFonts w:cs="Simplified Arabic"/>
            <w:sz w:val="28"/>
            <w:szCs w:val="28"/>
          </w:rPr>
          <w:t>Logistic regression</w:t>
        </w:r>
      </w:hyperlink>
      <w:r w:rsidRPr="009D189E">
        <w:rPr>
          <w:rFonts w:cs="Simplified Arabic"/>
          <w:sz w:val="28"/>
          <w:szCs w:val="28"/>
          <w:u w:val="single"/>
        </w:rPr>
        <w:t xml:space="preserve"> analysis (odds ratio) between BMI SDS and each of serum  Zinc, copper, iron and magnesium among studied cases</w:t>
      </w:r>
    </w:p>
    <w:p w:rsidR="00FC47B6" w:rsidRPr="009D189E" w:rsidRDefault="00FC47B6" w:rsidP="009D189E">
      <w:pPr>
        <w:bidi w:val="0"/>
        <w:spacing w:line="360" w:lineRule="auto"/>
        <w:jc w:val="both"/>
        <w:rPr>
          <w:rFonts w:cs="Simplified Arabic"/>
          <w:sz w:val="28"/>
          <w:szCs w:val="28"/>
          <w:u w:val="single"/>
        </w:rPr>
      </w:pP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766"/>
        <w:gridCol w:w="1694"/>
        <w:gridCol w:w="1673"/>
        <w:gridCol w:w="1678"/>
        <w:gridCol w:w="1711"/>
      </w:tblGrid>
      <w:tr w:rsidR="00FC47B6" w:rsidRPr="009D189E" w:rsidTr="00897F0B">
        <w:tc>
          <w:tcPr>
            <w:tcW w:w="1766" w:type="dxa"/>
            <w:tcBorders>
              <w:top w:val="single" w:sz="12" w:space="0" w:color="auto"/>
            </w:tcBorders>
          </w:tcPr>
          <w:p w:rsidR="00FC47B6" w:rsidRPr="009D189E" w:rsidRDefault="00FC47B6" w:rsidP="009D189E">
            <w:pPr>
              <w:bidi w:val="0"/>
              <w:spacing w:line="360" w:lineRule="auto"/>
              <w:jc w:val="both"/>
              <w:rPr>
                <w:rFonts w:cs="Simplified Arabic"/>
                <w:color w:val="000000"/>
                <w:sz w:val="28"/>
                <w:szCs w:val="28"/>
              </w:rPr>
            </w:pPr>
          </w:p>
        </w:tc>
        <w:tc>
          <w:tcPr>
            <w:tcW w:w="1694" w:type="dxa"/>
            <w:tcBorders>
              <w:top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Odd ratio</w:t>
            </w:r>
          </w:p>
        </w:tc>
        <w:tc>
          <w:tcPr>
            <w:tcW w:w="1673" w:type="dxa"/>
            <w:tcBorders>
              <w:top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95% CI</w:t>
            </w:r>
          </w:p>
        </w:tc>
        <w:tc>
          <w:tcPr>
            <w:tcW w:w="1678" w:type="dxa"/>
            <w:tcBorders>
              <w:top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Z</w:t>
            </w:r>
          </w:p>
        </w:tc>
        <w:tc>
          <w:tcPr>
            <w:tcW w:w="1711" w:type="dxa"/>
            <w:tcBorders>
              <w:top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i/>
                <w:iCs/>
                <w:color w:val="000000"/>
                <w:sz w:val="28"/>
                <w:szCs w:val="28"/>
              </w:rPr>
              <w:t>p</w:t>
            </w:r>
            <w:r w:rsidRPr="009D189E">
              <w:rPr>
                <w:rFonts w:cs="Simplified Arabic"/>
                <w:color w:val="000000"/>
                <w:sz w:val="28"/>
                <w:szCs w:val="28"/>
              </w:rPr>
              <w:t xml:space="preserve"> </w:t>
            </w:r>
          </w:p>
        </w:tc>
      </w:tr>
      <w:tr w:rsidR="00FC47B6" w:rsidRPr="009D189E" w:rsidTr="00897F0B">
        <w:tc>
          <w:tcPr>
            <w:tcW w:w="1766"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Zinc deficiency</w:t>
            </w:r>
          </w:p>
        </w:tc>
        <w:tc>
          <w:tcPr>
            <w:tcW w:w="1694"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108.77</w:t>
            </w:r>
          </w:p>
        </w:tc>
        <w:tc>
          <w:tcPr>
            <w:tcW w:w="1673"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3.217</w:t>
            </w:r>
          </w:p>
        </w:tc>
        <w:tc>
          <w:tcPr>
            <w:tcW w:w="1678"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3.21</w:t>
            </w:r>
          </w:p>
        </w:tc>
        <w:tc>
          <w:tcPr>
            <w:tcW w:w="1711"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0.0013*</w:t>
            </w:r>
          </w:p>
        </w:tc>
      </w:tr>
      <w:tr w:rsidR="00FC47B6" w:rsidRPr="009D189E" w:rsidTr="00897F0B">
        <w:tc>
          <w:tcPr>
            <w:tcW w:w="1766"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Elevated Copper</w:t>
            </w:r>
          </w:p>
        </w:tc>
        <w:tc>
          <w:tcPr>
            <w:tcW w:w="1694"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657</w:t>
            </w:r>
          </w:p>
        </w:tc>
        <w:tc>
          <w:tcPr>
            <w:tcW w:w="1673"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34.18 - 12626.13</w:t>
            </w:r>
          </w:p>
        </w:tc>
        <w:tc>
          <w:tcPr>
            <w:tcW w:w="1678"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4.30</w:t>
            </w:r>
          </w:p>
        </w:tc>
        <w:tc>
          <w:tcPr>
            <w:tcW w:w="1711"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0.0001*</w:t>
            </w:r>
            <w:r w:rsidRPr="009D189E">
              <w:rPr>
                <w:rFonts w:cs="Simplified Arabic"/>
                <w:color w:val="000000"/>
                <w:sz w:val="28"/>
                <w:szCs w:val="28"/>
              </w:rPr>
              <w:t>*</w:t>
            </w:r>
          </w:p>
        </w:tc>
      </w:tr>
      <w:tr w:rsidR="00FC47B6" w:rsidRPr="009D189E" w:rsidTr="00897F0B">
        <w:tc>
          <w:tcPr>
            <w:tcW w:w="1766"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Iron deficiency</w:t>
            </w:r>
          </w:p>
        </w:tc>
        <w:tc>
          <w:tcPr>
            <w:tcW w:w="1694"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49.23</w:t>
            </w:r>
          </w:p>
        </w:tc>
        <w:tc>
          <w:tcPr>
            <w:tcW w:w="1673"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2.82 - 859.26</w:t>
            </w:r>
          </w:p>
        </w:tc>
        <w:tc>
          <w:tcPr>
            <w:tcW w:w="1678"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2.67</w:t>
            </w:r>
          </w:p>
        </w:tc>
        <w:tc>
          <w:tcPr>
            <w:tcW w:w="1711" w:type="dxa"/>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0.0076</w:t>
            </w:r>
            <w:r w:rsidRPr="009D189E">
              <w:rPr>
                <w:rFonts w:cs="Simplified Arabic"/>
                <w:color w:val="000000"/>
                <w:sz w:val="28"/>
                <w:szCs w:val="28"/>
              </w:rPr>
              <w:t>*</w:t>
            </w:r>
          </w:p>
        </w:tc>
      </w:tr>
      <w:tr w:rsidR="00FC47B6" w:rsidRPr="009D189E" w:rsidTr="00897F0B">
        <w:tc>
          <w:tcPr>
            <w:tcW w:w="1766" w:type="dxa"/>
            <w:tcBorders>
              <w:bottom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color w:val="000000"/>
                <w:sz w:val="28"/>
                <w:szCs w:val="28"/>
              </w:rPr>
              <w:t>Magnesium deficiency</w:t>
            </w:r>
          </w:p>
        </w:tc>
        <w:tc>
          <w:tcPr>
            <w:tcW w:w="1694" w:type="dxa"/>
            <w:tcBorders>
              <w:bottom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657</w:t>
            </w:r>
          </w:p>
        </w:tc>
        <w:tc>
          <w:tcPr>
            <w:tcW w:w="1673" w:type="dxa"/>
            <w:tcBorders>
              <w:bottom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34.18 - 12626.13</w:t>
            </w:r>
          </w:p>
        </w:tc>
        <w:tc>
          <w:tcPr>
            <w:tcW w:w="1678" w:type="dxa"/>
            <w:tcBorders>
              <w:bottom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4.30</w:t>
            </w:r>
          </w:p>
        </w:tc>
        <w:tc>
          <w:tcPr>
            <w:tcW w:w="1711" w:type="dxa"/>
            <w:tcBorders>
              <w:bottom w:val="single" w:sz="12" w:space="0" w:color="auto"/>
            </w:tcBorders>
          </w:tcPr>
          <w:p w:rsidR="00FC47B6" w:rsidRPr="009D189E" w:rsidRDefault="00FC47B6" w:rsidP="009D189E">
            <w:pPr>
              <w:bidi w:val="0"/>
              <w:spacing w:line="360" w:lineRule="auto"/>
              <w:jc w:val="center"/>
              <w:rPr>
                <w:rFonts w:cs="Simplified Arabic"/>
                <w:color w:val="000000"/>
                <w:sz w:val="28"/>
                <w:szCs w:val="28"/>
              </w:rPr>
            </w:pPr>
            <w:r w:rsidRPr="009D189E">
              <w:rPr>
                <w:rFonts w:cs="Simplified Arabic"/>
                <w:sz w:val="28"/>
                <w:szCs w:val="28"/>
              </w:rPr>
              <w:t>0.0001*</w:t>
            </w:r>
            <w:r w:rsidRPr="009D189E">
              <w:rPr>
                <w:rFonts w:cs="Simplified Arabic"/>
                <w:color w:val="000000"/>
                <w:sz w:val="28"/>
                <w:szCs w:val="28"/>
              </w:rPr>
              <w:t>*</w:t>
            </w:r>
          </w:p>
        </w:tc>
      </w:tr>
    </w:tbl>
    <w:p w:rsidR="00FC47B6" w:rsidRPr="009D189E" w:rsidRDefault="00FC47B6" w:rsidP="009D189E">
      <w:pPr>
        <w:bidi w:val="0"/>
        <w:spacing w:line="360" w:lineRule="auto"/>
        <w:jc w:val="both"/>
        <w:rPr>
          <w:rFonts w:cs="Simplified Arabic"/>
          <w:i/>
          <w:iCs/>
          <w:sz w:val="28"/>
          <w:szCs w:val="28"/>
        </w:rPr>
      </w:pPr>
    </w:p>
    <w:p w:rsidR="00FC47B6" w:rsidRPr="009D189E" w:rsidRDefault="00FC47B6" w:rsidP="009D189E">
      <w:pPr>
        <w:bidi w:val="0"/>
        <w:spacing w:line="360" w:lineRule="auto"/>
        <w:jc w:val="both"/>
        <w:rPr>
          <w:rFonts w:cs="Simplified Arabic"/>
          <w:i/>
          <w:iCs/>
          <w:sz w:val="28"/>
          <w:szCs w:val="28"/>
        </w:rPr>
      </w:pPr>
      <w:r w:rsidRPr="009D189E">
        <w:rPr>
          <w:rFonts w:cs="Simplified Arabic"/>
          <w:i/>
          <w:iCs/>
          <w:sz w:val="28"/>
          <w:szCs w:val="28"/>
        </w:rPr>
        <w:t>P value ≤0.05: statistically significant, p value&gt;0.05: statistically insignificant, p value ≤0.001: highly statistically significant</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Studying BMI SDS as risk factor for zinc, iron and magnesium deficiencies and elevated serum copper was done. A high BMI SDS was a significant risk factor for zinc deficiency and iron deficiency (p ≤ 0.05), while it was highly statistically significant for magnesium deficiency and elevated serum copper level p ≤0.001), as in table (5).</w:t>
      </w:r>
    </w:p>
    <w:p w:rsidR="00FC47B6" w:rsidRPr="009D189E" w:rsidRDefault="00FC47B6" w:rsidP="009D189E">
      <w:pPr>
        <w:bidi w:val="0"/>
        <w:spacing w:line="360" w:lineRule="auto"/>
        <w:jc w:val="both"/>
        <w:rPr>
          <w:rFonts w:cs="Simplified Arabic"/>
          <w:sz w:val="28"/>
          <w:szCs w:val="28"/>
        </w:rPr>
      </w:pPr>
      <w:r w:rsidRPr="009D189E">
        <w:rPr>
          <w:rFonts w:cs="Simplified Arabic"/>
          <w:sz w:val="28"/>
          <w:szCs w:val="28"/>
        </w:rPr>
        <w:t>Discussion</w:t>
      </w:r>
    </w:p>
    <w:p w:rsidR="00FC47B6" w:rsidRPr="009D189E" w:rsidRDefault="00FC47B6" w:rsidP="009D189E">
      <w:pPr>
        <w:bidi w:val="0"/>
        <w:spacing w:line="360" w:lineRule="auto"/>
        <w:ind w:firstLine="1080"/>
        <w:jc w:val="both"/>
        <w:rPr>
          <w:rFonts w:cs="Simplified Arabic"/>
          <w:sz w:val="28"/>
          <w:szCs w:val="28"/>
        </w:rPr>
      </w:pPr>
      <w:r w:rsidRPr="009D189E">
        <w:rPr>
          <w:rFonts w:cs="Simplified Arabic"/>
          <w:sz w:val="28"/>
          <w:szCs w:val="28"/>
        </w:rPr>
        <w:t>The current study results showed that among cases, 24 (60%) were males and 16 (40%) were females with age ranging between 6&amp;12 years &amp; mean 9.25±2.07 (Mean ± SD), their Height SDS had a mean + 0.21±0.95 &amp; BMI (kg/m</w:t>
      </w:r>
      <w:r w:rsidRPr="009D189E">
        <w:rPr>
          <w:rFonts w:cs="Simplified Arabic"/>
          <w:sz w:val="28"/>
          <w:szCs w:val="28"/>
          <w:vertAlign w:val="superscript"/>
        </w:rPr>
        <w:t>2</w:t>
      </w:r>
      <w:r w:rsidRPr="009D189E">
        <w:rPr>
          <w:rFonts w:cs="Simplified Arabic"/>
          <w:sz w:val="28"/>
          <w:szCs w:val="28"/>
        </w:rPr>
        <w:t>) was 29.6±4.5 while BMI SDS was + 3.32±0.64. Triceps skin fold thickness (mm) (21.9±3.64), Subscapular skin fold thickness (mm) (21.15±3.64), Waist circumference (cm) (87.18±9.59) &amp; Waist/hip ratio (0.91±0.04).</w:t>
      </w:r>
    </w:p>
    <w:p w:rsidR="00FC47B6" w:rsidRPr="009D189E" w:rsidRDefault="00FC47B6" w:rsidP="009D189E">
      <w:pPr>
        <w:bidi w:val="0"/>
        <w:spacing w:line="360" w:lineRule="auto"/>
        <w:ind w:firstLine="1080"/>
        <w:jc w:val="both"/>
        <w:rPr>
          <w:rFonts w:cs="Simplified Arabic"/>
          <w:sz w:val="28"/>
          <w:szCs w:val="28"/>
        </w:rPr>
      </w:pPr>
      <w:r w:rsidRPr="009D189E">
        <w:rPr>
          <w:rFonts w:cs="Simplified Arabic"/>
          <w:sz w:val="28"/>
          <w:szCs w:val="28"/>
        </w:rPr>
        <w:t xml:space="preserve">Our results agree with </w:t>
      </w:r>
      <w:r w:rsidRPr="009D189E">
        <w:rPr>
          <w:rFonts w:cs="Simplified Arabic"/>
          <w:i/>
          <w:iCs/>
          <w:sz w:val="28"/>
          <w:szCs w:val="28"/>
        </w:rPr>
        <w:t xml:space="preserve">Dietz and Robinson </w:t>
      </w:r>
      <w:r w:rsidRPr="009D189E">
        <w:rPr>
          <w:rFonts w:cs="Simplified Arabic"/>
          <w:i/>
          <w:iCs/>
          <w:sz w:val="28"/>
          <w:szCs w:val="28"/>
          <w:vertAlign w:val="superscript"/>
        </w:rPr>
        <w:t>(</w:t>
      </w:r>
      <w:r w:rsidRPr="009D189E">
        <w:rPr>
          <w:rFonts w:cs="Simplified Arabic"/>
          <w:sz w:val="28"/>
          <w:szCs w:val="28"/>
          <w:vertAlign w:val="superscript"/>
        </w:rPr>
        <w:t>17)</w:t>
      </w:r>
      <w:r w:rsidRPr="009D189E">
        <w:rPr>
          <w:rFonts w:cs="Simplified Arabic"/>
          <w:sz w:val="28"/>
          <w:szCs w:val="28"/>
        </w:rPr>
        <w:t xml:space="preserve"> who found that BMI is a reliable and preferable measure of adiposity in children and adolescence. Also our results was in agreement with the study of Marreiro et al., </w:t>
      </w:r>
      <w:r w:rsidRPr="009D189E">
        <w:rPr>
          <w:rFonts w:cs="Simplified Arabic"/>
          <w:i/>
          <w:iCs/>
          <w:sz w:val="28"/>
          <w:szCs w:val="28"/>
        </w:rPr>
        <w:t>(2002)</w:t>
      </w:r>
      <w:r w:rsidRPr="009D189E">
        <w:rPr>
          <w:rFonts w:cs="Simplified Arabic"/>
          <w:sz w:val="28"/>
          <w:szCs w:val="28"/>
        </w:rPr>
        <w:t xml:space="preserve"> 18 which was carried out with a group of 23 obese individuals, between 7 and 14 yr of age (11 male and 12 female). The mean determined of the BMI was 30.1 ± 5.8 kg/m</w:t>
      </w:r>
      <w:r w:rsidRPr="009D189E">
        <w:rPr>
          <w:rFonts w:cs="Simplified Arabic"/>
          <w:sz w:val="28"/>
          <w:szCs w:val="28"/>
          <w:vertAlign w:val="superscript"/>
        </w:rPr>
        <w:t>2</w:t>
      </w:r>
      <w:r w:rsidRPr="009D189E">
        <w:rPr>
          <w:rFonts w:cs="Simplified Arabic"/>
          <w:sz w:val="28"/>
          <w:szCs w:val="28"/>
        </w:rPr>
        <w:t xml:space="preserve"> for the obese group which was slightly higher than current study results. According to the values determined for Triceps and subscapular skinfolds, all of the obese individuals were above the 85th percentile,</w:t>
      </w:r>
      <w:r w:rsidRPr="009D189E">
        <w:rPr>
          <w:rFonts w:ascii="Palatino-Roman" w:cs="Simplified Arabic"/>
          <w:color w:val="231F20"/>
          <w:sz w:val="28"/>
          <w:szCs w:val="28"/>
        </w:rPr>
        <w:t xml:space="preserve"> </w:t>
      </w:r>
      <w:r w:rsidRPr="009D189E">
        <w:rPr>
          <w:rFonts w:cs="Simplified Arabic"/>
          <w:sz w:val="28"/>
          <w:szCs w:val="28"/>
        </w:rPr>
        <w:t>showing that the body fat was above the expected average.</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As regard Trace Element state in the studied group, the mean</w:t>
      </w:r>
      <w:r w:rsidRPr="009D189E">
        <w:rPr>
          <w:rFonts w:cs="Simplified Arabic"/>
          <w:sz w:val="28"/>
          <w:szCs w:val="28"/>
          <w:u w:val="single"/>
        </w:rPr>
        <w:t>+</w:t>
      </w:r>
      <w:r w:rsidRPr="009D189E">
        <w:rPr>
          <w:rFonts w:cs="Simplified Arabic"/>
          <w:sz w:val="28"/>
          <w:szCs w:val="28"/>
        </w:rPr>
        <w:t xml:space="preserve"> SD of iron, zinc, capper &amp; magnesium were 65.43±21.16 (μg/dl), 68.6±10.81 (μg/dl), 101.5±19.83 (μg/dl) &amp; 1.92±0.32 (mg/dl) respectively. This was at the lower limit of reference ranges as regard iron, zinc &amp; magnesium (</w:t>
      </w:r>
      <w:r w:rsidRPr="009D189E">
        <w:rPr>
          <w:rFonts w:cs="Simplified Arabic"/>
          <w:color w:val="000000"/>
          <w:sz w:val="28"/>
          <w:szCs w:val="28"/>
          <w:rtl/>
        </w:rPr>
        <w:t>53</w:t>
      </w:r>
      <w:r w:rsidRPr="009D189E">
        <w:rPr>
          <w:rFonts w:cs="Simplified Arabic"/>
          <w:color w:val="000000"/>
          <w:sz w:val="28"/>
          <w:szCs w:val="28"/>
        </w:rPr>
        <w:t>-119 μg/dl</w:t>
      </w:r>
      <w:r w:rsidRPr="009D189E">
        <w:rPr>
          <w:rFonts w:cs="Simplified Arabic"/>
          <w:sz w:val="28"/>
          <w:szCs w:val="28"/>
        </w:rPr>
        <w:t xml:space="preserve">, </w:t>
      </w:r>
      <w:r w:rsidRPr="009D189E">
        <w:rPr>
          <w:rFonts w:cs="Simplified Arabic"/>
          <w:color w:val="000000"/>
          <w:sz w:val="28"/>
          <w:szCs w:val="28"/>
        </w:rPr>
        <w:t>66-144 μg/dl</w:t>
      </w:r>
      <w:r w:rsidRPr="009D189E">
        <w:rPr>
          <w:rFonts w:cs="Simplified Arabic"/>
          <w:sz w:val="28"/>
          <w:szCs w:val="28"/>
        </w:rPr>
        <w:t xml:space="preserve"> &amp; </w:t>
      </w:r>
      <w:r w:rsidRPr="009D189E">
        <w:rPr>
          <w:rFonts w:cs="Simplified Arabic"/>
          <w:color w:val="000000"/>
          <w:sz w:val="28"/>
          <w:szCs w:val="28"/>
        </w:rPr>
        <w:t>1.5-2.3mg/dl</w:t>
      </w:r>
      <w:r w:rsidRPr="009D189E">
        <w:rPr>
          <w:rFonts w:cs="Simplified Arabic"/>
          <w:sz w:val="28"/>
          <w:szCs w:val="28"/>
        </w:rPr>
        <w:t>) while it was at the higher level as regard capper (67-147 μg/dl)</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Similar to current study results, Marreiro et al., </w:t>
      </w:r>
      <w:r w:rsidRPr="009D189E">
        <w:rPr>
          <w:rFonts w:cs="Simplified Arabic"/>
          <w:sz w:val="28"/>
          <w:szCs w:val="28"/>
          <w:vertAlign w:val="superscript"/>
        </w:rPr>
        <w:t>(18)</w:t>
      </w:r>
      <w:r w:rsidRPr="009D189E">
        <w:rPr>
          <w:rFonts w:cs="Simplified Arabic"/>
          <w:sz w:val="28"/>
          <w:szCs w:val="28"/>
        </w:rPr>
        <w:t xml:space="preserve"> found in their results that almost half of the obese individuals (47.8%) showed plasma zinc concentrations lower than the reference values of 75–110 μg/dL, 43.5% showed values within the range of normality, and 8.7% showed concentrations higher than the reference values.</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Magnesium is a critical cofactor in numerous enzymatic reactions. Diabetic patients and obese subjects are often reported to have magnesium deficiency </w:t>
      </w:r>
      <w:r w:rsidRPr="009D189E">
        <w:rPr>
          <w:rFonts w:cs="Simplified Arabic"/>
          <w:i/>
          <w:iCs/>
          <w:sz w:val="28"/>
          <w:szCs w:val="28"/>
        </w:rPr>
        <w:t>(</w:t>
      </w:r>
      <w:r w:rsidRPr="009D189E">
        <w:rPr>
          <w:rFonts w:eastAsia="Times New Roman" w:cs="Simplified Arabic"/>
          <w:i/>
          <w:iCs/>
          <w:sz w:val="28"/>
          <w:szCs w:val="28"/>
        </w:rPr>
        <w:t>Shechter et al.,)</w:t>
      </w:r>
      <w:r w:rsidRPr="009D189E">
        <w:rPr>
          <w:rFonts w:cs="Simplified Arabic"/>
          <w:sz w:val="28"/>
          <w:szCs w:val="28"/>
        </w:rPr>
        <w:t xml:space="preserve">. </w:t>
      </w:r>
      <w:r w:rsidRPr="009D189E">
        <w:rPr>
          <w:rFonts w:cs="Simplified Arabic"/>
          <w:sz w:val="28"/>
          <w:szCs w:val="28"/>
          <w:vertAlign w:val="superscript"/>
        </w:rPr>
        <w:t>(19)</w:t>
      </w:r>
      <w:r w:rsidRPr="009D189E">
        <w:rPr>
          <w:rFonts w:cs="Simplified Arabic"/>
          <w:sz w:val="28"/>
          <w:szCs w:val="28"/>
        </w:rPr>
        <w:t xml:space="preserve"> This was found in the current study and also found in results by </w:t>
      </w:r>
      <w:r w:rsidRPr="009D189E">
        <w:rPr>
          <w:rFonts w:eastAsia="Times New Roman" w:cs="Simplified Arabic"/>
          <w:i/>
          <w:iCs/>
          <w:sz w:val="28"/>
          <w:szCs w:val="28"/>
        </w:rPr>
        <w:t xml:space="preserve">Takaya et al., </w:t>
      </w:r>
      <w:r w:rsidRPr="009D189E">
        <w:rPr>
          <w:rFonts w:eastAsia="Times New Roman" w:cs="Simplified Arabic"/>
          <w:sz w:val="28"/>
          <w:szCs w:val="28"/>
          <w:vertAlign w:val="superscript"/>
        </w:rPr>
        <w:t>(20)</w:t>
      </w:r>
      <w:r w:rsidRPr="009D189E">
        <w:rPr>
          <w:rFonts w:cs="Simplified Arabic"/>
          <w:sz w:val="28"/>
          <w:szCs w:val="28"/>
        </w:rPr>
        <w:t xml:space="preserve"> as they reported that children with diabetes and obesity have [Mg2+]i deficiency.</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Comparing cases and controls in the current study regarding clinical characteristics, there were significant differences between cases and controls except for age and height SDS that were statistically non-significant. The significance difference was found in Socioeconomic score (p=0.03*), BMI (kg/m</w:t>
      </w:r>
      <w:r w:rsidRPr="009D189E">
        <w:rPr>
          <w:rFonts w:cs="Simplified Arabic"/>
          <w:sz w:val="28"/>
          <w:szCs w:val="28"/>
          <w:vertAlign w:val="superscript"/>
        </w:rPr>
        <w:t>2</w:t>
      </w:r>
      <w:r w:rsidRPr="009D189E">
        <w:rPr>
          <w:rFonts w:cs="Simplified Arabic"/>
          <w:sz w:val="28"/>
          <w:szCs w:val="28"/>
        </w:rPr>
        <w:t>) (p=0.0001**), BMI SDS (p=0.0001**), Triceps skin fold thickness (mm) (p=0.0001**), Subscapular skin fold thickness (mm) (p=0.0001**), Waist circumference (cm) (p=0.0001**) &amp; Waist/hip ratio (p=0.0002**).</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Similar to the current results as regard clinical data, </w:t>
      </w:r>
      <w:r w:rsidRPr="009D189E">
        <w:rPr>
          <w:rFonts w:cs="Simplified Arabic"/>
          <w:i/>
          <w:iCs/>
          <w:sz w:val="28"/>
          <w:szCs w:val="28"/>
        </w:rPr>
        <w:t xml:space="preserve">Salem et al., </w:t>
      </w:r>
      <w:r w:rsidRPr="009D189E">
        <w:rPr>
          <w:rFonts w:cs="Simplified Arabic"/>
          <w:sz w:val="28"/>
          <w:szCs w:val="28"/>
          <w:vertAlign w:val="superscript"/>
        </w:rPr>
        <w:t>(21)</w:t>
      </w:r>
      <w:r w:rsidRPr="009D189E">
        <w:rPr>
          <w:rFonts w:cs="Simplified Arabic"/>
          <w:sz w:val="28"/>
          <w:szCs w:val="28"/>
        </w:rPr>
        <w:t xml:space="preserve"> reported highly significant difference between obese and control children as regards BMI, waist circumference (WC), hip circumference and waist to hip ratio in both males and females (P &lt; 0.01).</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These results were also similar to study by </w:t>
      </w:r>
      <w:r w:rsidRPr="009D189E">
        <w:rPr>
          <w:rFonts w:cs="Simplified Arabic"/>
          <w:i/>
          <w:iCs/>
          <w:sz w:val="28"/>
          <w:szCs w:val="28"/>
        </w:rPr>
        <w:t>Marreiro et al.,</w:t>
      </w:r>
      <w:r w:rsidRPr="009D189E">
        <w:rPr>
          <w:rFonts w:cs="Simplified Arabic"/>
          <w:sz w:val="28"/>
          <w:szCs w:val="28"/>
        </w:rPr>
        <w:t xml:space="preserve"> </w:t>
      </w:r>
      <w:r w:rsidRPr="009D189E">
        <w:rPr>
          <w:rFonts w:cs="Simplified Arabic"/>
          <w:sz w:val="28"/>
          <w:szCs w:val="28"/>
          <w:vertAlign w:val="superscript"/>
        </w:rPr>
        <w:t>(18)</w:t>
      </w:r>
      <w:r w:rsidRPr="009D189E">
        <w:rPr>
          <w:rFonts w:cs="Simplified Arabic"/>
          <w:sz w:val="28"/>
          <w:szCs w:val="28"/>
        </w:rPr>
        <w:t xml:space="preserve"> as they found that obese group showed a higher mean for waist/hip ratio than the control group, with a statistically significant difference (</w:t>
      </w:r>
      <w:r w:rsidRPr="009D189E">
        <w:rPr>
          <w:rFonts w:cs="Simplified Arabic"/>
          <w:i/>
          <w:iCs/>
          <w:sz w:val="28"/>
          <w:szCs w:val="28"/>
        </w:rPr>
        <w:t xml:space="preserve">p </w:t>
      </w:r>
      <w:r w:rsidRPr="009D189E">
        <w:rPr>
          <w:rFonts w:cs="Simplified Arabic"/>
          <w:sz w:val="28"/>
          <w:szCs w:val="28"/>
        </w:rPr>
        <w:t>&lt; 0.001). The mean value for the sum of the skinfolds of obese individual was also higher than that of the control group (</w:t>
      </w:r>
      <w:r w:rsidRPr="009D189E">
        <w:rPr>
          <w:rFonts w:cs="Simplified Arabic"/>
          <w:i/>
          <w:iCs/>
          <w:sz w:val="28"/>
          <w:szCs w:val="28"/>
        </w:rPr>
        <w:t xml:space="preserve">p </w:t>
      </w:r>
      <w:r w:rsidRPr="009D189E">
        <w:rPr>
          <w:rFonts w:cs="Simplified Arabic"/>
          <w:sz w:val="28"/>
          <w:szCs w:val="28"/>
        </w:rPr>
        <w:t xml:space="preserve">&lt; 0.001). Also, These results are in concordance with another study by </w:t>
      </w:r>
      <w:r w:rsidRPr="009D189E">
        <w:rPr>
          <w:rFonts w:cs="Simplified Arabic"/>
          <w:i/>
          <w:iCs/>
          <w:sz w:val="28"/>
          <w:szCs w:val="28"/>
        </w:rPr>
        <w:t xml:space="preserve">Chan et al., </w:t>
      </w:r>
      <w:r w:rsidRPr="009D189E">
        <w:rPr>
          <w:rFonts w:cs="Simplified Arabic"/>
          <w:i/>
          <w:iCs/>
          <w:sz w:val="28"/>
          <w:szCs w:val="28"/>
          <w:vertAlign w:val="superscript"/>
        </w:rPr>
        <w:t>(22)</w:t>
      </w:r>
      <w:r w:rsidRPr="009D189E">
        <w:rPr>
          <w:rFonts w:cs="Simplified Arabic"/>
          <w:i/>
          <w:iCs/>
          <w:sz w:val="28"/>
          <w:szCs w:val="28"/>
        </w:rPr>
        <w:t xml:space="preserve"> </w:t>
      </w:r>
      <w:r w:rsidRPr="009D189E">
        <w:rPr>
          <w:rFonts w:cs="Simplified Arabic"/>
          <w:sz w:val="28"/>
          <w:szCs w:val="28"/>
        </w:rPr>
        <w:t>who concluded that obese children had significantly higher values (p = 0.01) than normal weight children regarding height ,weight ,waist cicumfrance hip circumfrance , waist hip ratio and abdominal fat thickness .</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i/>
          <w:iCs/>
          <w:sz w:val="28"/>
          <w:szCs w:val="28"/>
        </w:rPr>
        <w:t xml:space="preserve">Pinhas-Hamiel et al., </w:t>
      </w:r>
      <w:r w:rsidRPr="009D189E">
        <w:rPr>
          <w:rFonts w:cs="Simplified Arabic"/>
          <w:sz w:val="28"/>
          <w:szCs w:val="28"/>
          <w:vertAlign w:val="superscript"/>
        </w:rPr>
        <w:t>(23)</w:t>
      </w:r>
      <w:r w:rsidRPr="009D189E">
        <w:rPr>
          <w:rFonts w:cs="Simplified Arabic"/>
          <w:sz w:val="28"/>
          <w:szCs w:val="28"/>
        </w:rPr>
        <w:t xml:space="preserve"> stated that obesity is more prevalent in lower socioeconomic groups, which consume low-cost foods that are low in essential nutrients and rich in fats, sugars and preservatives. Also </w:t>
      </w:r>
      <w:r w:rsidRPr="009D189E">
        <w:rPr>
          <w:rFonts w:cs="Simplified Arabic"/>
          <w:i/>
          <w:iCs/>
          <w:sz w:val="28"/>
          <w:szCs w:val="28"/>
        </w:rPr>
        <w:t xml:space="preserve">Monteiro et al., </w:t>
      </w:r>
      <w:r w:rsidRPr="009D189E">
        <w:rPr>
          <w:rFonts w:cs="Simplified Arabic"/>
          <w:sz w:val="28"/>
          <w:szCs w:val="28"/>
          <w:vertAlign w:val="superscript"/>
        </w:rPr>
        <w:t>(24)</w:t>
      </w:r>
      <w:r w:rsidRPr="009D189E">
        <w:rPr>
          <w:rFonts w:cs="Simplified Arabic"/>
          <w:sz w:val="28"/>
          <w:szCs w:val="28"/>
        </w:rPr>
        <w:t xml:space="preserve"> estimating the prevalence of iron state in obese children in São Paulo, note prevalence of 35.6% to 46.9%, to girls and boys mainly from lower income groups. This was against the current study results where the obese children are of higher socioeconomic with significant difference when compared to control group, this can be explained as the fast food consumption is more common in high social class in Egypt nowadays.</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Results of current study included that all trace elements (iron, zinc &amp; magnesium) were significantly lower among cases than controls except for copper which was significantly higher among cases than controls. This can be explained as despite their excessive dietary and caloric intake, obese children and adolescents may be at risk of trace element disturbance because they tend to consume unbalanced meals, particularly rich in carbohydrates and fat.</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Similar to current study results, </w:t>
      </w:r>
      <w:r w:rsidRPr="009D189E">
        <w:rPr>
          <w:rFonts w:cs="Simplified Arabic"/>
          <w:i/>
          <w:iCs/>
          <w:sz w:val="28"/>
          <w:szCs w:val="28"/>
        </w:rPr>
        <w:t xml:space="preserve">Moayeri et al., </w:t>
      </w:r>
      <w:r w:rsidRPr="009D189E">
        <w:rPr>
          <w:rFonts w:cs="Simplified Arabic"/>
          <w:sz w:val="28"/>
          <w:szCs w:val="28"/>
          <w:vertAlign w:val="superscript"/>
        </w:rPr>
        <w:t>(25)</w:t>
      </w:r>
      <w:r w:rsidRPr="009D189E">
        <w:rPr>
          <w:rFonts w:cs="Simplified Arabic"/>
          <w:sz w:val="28"/>
          <w:szCs w:val="28"/>
        </w:rPr>
        <w:t xml:space="preserve"> found that overall, the prevalence of iron deficiency increased as the subjects BMI rose from normal to overweight and to obese (2.5%, 5.3%, and 6.9%, respectively, P = 0.001).</w:t>
      </w:r>
    </w:p>
    <w:p w:rsidR="00FC47B6" w:rsidRPr="009D189E" w:rsidRDefault="00FC47B6" w:rsidP="009D189E">
      <w:pPr>
        <w:bidi w:val="0"/>
        <w:spacing w:line="360" w:lineRule="auto"/>
        <w:ind w:firstLine="851"/>
        <w:jc w:val="both"/>
        <w:rPr>
          <w:rFonts w:cs="Simplified Arabic"/>
          <w:sz w:val="28"/>
          <w:szCs w:val="28"/>
        </w:rPr>
      </w:pPr>
      <w:r w:rsidRPr="009D189E">
        <w:rPr>
          <w:rFonts w:cs="Simplified Arabic"/>
          <w:sz w:val="28"/>
          <w:szCs w:val="28"/>
        </w:rPr>
        <w:t xml:space="preserve">As regard zinc, Marreiro et al., </w:t>
      </w:r>
      <w:r w:rsidRPr="009D189E">
        <w:rPr>
          <w:rFonts w:cs="Simplified Arabic"/>
          <w:sz w:val="28"/>
          <w:szCs w:val="28"/>
          <w:vertAlign w:val="superscript"/>
        </w:rPr>
        <w:t>(18)</w:t>
      </w:r>
      <w:r w:rsidRPr="009D189E">
        <w:rPr>
          <w:rFonts w:cs="Simplified Arabic"/>
          <w:sz w:val="28"/>
          <w:szCs w:val="28"/>
        </w:rPr>
        <w:t xml:space="preserve"> found significant difference between the obese &amp; control (</w:t>
      </w:r>
      <w:r w:rsidRPr="009D189E">
        <w:rPr>
          <w:rFonts w:cs="Simplified Arabic"/>
          <w:i/>
          <w:iCs/>
          <w:sz w:val="28"/>
          <w:szCs w:val="28"/>
        </w:rPr>
        <w:t xml:space="preserve">p </w:t>
      </w:r>
      <w:r w:rsidRPr="009D189E">
        <w:rPr>
          <w:rFonts w:cs="Simplified Arabic"/>
          <w:sz w:val="28"/>
          <w:szCs w:val="28"/>
        </w:rPr>
        <w:t xml:space="preserve">&lt; 0.05) as regard to the results of plasma zinc concentrations. The mean found for the index was 82.3 ± 17.8 μg/dL for the obese group and 91.4 ± 11.0 μg/dL for the control group. The results agreed with those of other authors that showed a reduced plasma zinc concentration in obese individuals </w:t>
      </w:r>
      <w:r w:rsidRPr="009D189E">
        <w:rPr>
          <w:rFonts w:cs="Simplified Arabic"/>
          <w:i/>
          <w:iCs/>
          <w:sz w:val="28"/>
          <w:szCs w:val="28"/>
        </w:rPr>
        <w:t xml:space="preserve">(Chen et al.,) </w:t>
      </w:r>
      <w:r w:rsidRPr="009D189E">
        <w:rPr>
          <w:rFonts w:cs="Simplified Arabic"/>
          <w:sz w:val="28"/>
          <w:szCs w:val="28"/>
          <w:vertAlign w:val="superscript"/>
        </w:rPr>
        <w:t>(26)</w:t>
      </w:r>
      <w:r w:rsidRPr="009D189E">
        <w:rPr>
          <w:rFonts w:cs="Simplified Arabic"/>
          <w:sz w:val="28"/>
          <w:szCs w:val="28"/>
        </w:rPr>
        <w:t xml:space="preserve">. Also </w:t>
      </w:r>
      <w:r w:rsidRPr="009D189E">
        <w:rPr>
          <w:rFonts w:cs="Simplified Arabic"/>
          <w:i/>
          <w:iCs/>
          <w:sz w:val="28"/>
          <w:szCs w:val="28"/>
        </w:rPr>
        <w:t xml:space="preserve">Perrone et al., </w:t>
      </w:r>
      <w:r w:rsidRPr="009D189E">
        <w:rPr>
          <w:rFonts w:cs="Simplified Arabic"/>
          <w:sz w:val="28"/>
          <w:szCs w:val="28"/>
          <w:vertAlign w:val="superscript"/>
        </w:rPr>
        <w:t>(27)</w:t>
      </w:r>
      <w:r w:rsidRPr="009D189E">
        <w:rPr>
          <w:rFonts w:cs="Simplified Arabic"/>
          <w:i/>
          <w:iCs/>
          <w:sz w:val="28"/>
          <w:szCs w:val="28"/>
        </w:rPr>
        <w:t xml:space="preserve"> </w:t>
      </w:r>
      <w:r w:rsidRPr="009D189E">
        <w:rPr>
          <w:rFonts w:cs="Simplified Arabic"/>
          <w:sz w:val="28"/>
          <w:szCs w:val="28"/>
        </w:rPr>
        <w:t>found that a lower serum zinc content detected in obese than in control subjects.</w:t>
      </w:r>
    </w:p>
    <w:p w:rsidR="00FC47B6" w:rsidRPr="009D189E" w:rsidRDefault="00FC47B6" w:rsidP="009D189E">
      <w:pPr>
        <w:bidi w:val="0"/>
        <w:spacing w:line="360" w:lineRule="auto"/>
        <w:ind w:firstLine="851"/>
        <w:jc w:val="both"/>
        <w:rPr>
          <w:rFonts w:cs="Simplified Arabic"/>
          <w:sz w:val="28"/>
          <w:szCs w:val="28"/>
        </w:rPr>
      </w:pPr>
      <w:r w:rsidRPr="009D189E">
        <w:rPr>
          <w:rFonts w:eastAsia="Times New Roman" w:cs="Simplified Arabic"/>
          <w:sz w:val="28"/>
          <w:szCs w:val="28"/>
        </w:rPr>
        <w:t>Similar to our results</w:t>
      </w:r>
      <w:r w:rsidRPr="009D189E">
        <w:rPr>
          <w:rFonts w:eastAsia="Times New Roman" w:cs="Simplified Arabic"/>
          <w:i/>
          <w:iCs/>
          <w:sz w:val="28"/>
          <w:szCs w:val="28"/>
        </w:rPr>
        <w:t xml:space="preserve">, Takaya et al., </w:t>
      </w:r>
      <w:r w:rsidRPr="009D189E">
        <w:rPr>
          <w:rFonts w:eastAsia="Times New Roman" w:cs="Simplified Arabic"/>
          <w:sz w:val="28"/>
          <w:szCs w:val="28"/>
          <w:vertAlign w:val="superscript"/>
        </w:rPr>
        <w:t>(28)</w:t>
      </w:r>
      <w:r w:rsidRPr="009D189E">
        <w:rPr>
          <w:rFonts w:cs="Simplified Arabic"/>
          <w:sz w:val="28"/>
          <w:szCs w:val="28"/>
        </w:rPr>
        <w:t xml:space="preserve">, found that subjects with obesity had Magnesium which was significantly lower than in the normal control group. However  in contrast to our results, </w:t>
      </w:r>
      <w:r w:rsidRPr="009D189E">
        <w:rPr>
          <w:rFonts w:cs="Simplified Arabic"/>
          <w:i/>
          <w:iCs/>
          <w:sz w:val="28"/>
          <w:szCs w:val="28"/>
        </w:rPr>
        <w:t xml:space="preserve">Perrone et al., </w:t>
      </w:r>
      <w:r w:rsidRPr="009D189E">
        <w:rPr>
          <w:rFonts w:cs="Simplified Arabic"/>
          <w:sz w:val="28"/>
          <w:szCs w:val="28"/>
          <w:vertAlign w:val="superscript"/>
        </w:rPr>
        <w:t>(27)</w:t>
      </w:r>
      <w:r w:rsidRPr="009D189E">
        <w:rPr>
          <w:rFonts w:cs="Simplified Arabic"/>
          <w:sz w:val="28"/>
          <w:szCs w:val="28"/>
        </w:rPr>
        <w:t xml:space="preserve"> data show no significant difference in serum copper levels between obese and normal subjects.</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Studying BMI SDS as risk factor for zinc, iron and magnesium deficiencies and elevated serum copper was done. A high BMI SDS was a significant risk factor for zinc deficiency and iron deficiency (p ≤ 0.05), while it was highly statistically significant for magnesium deficiency and elevated serum copper level p ≤0.001).</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 xml:space="preserve">This was in agreement with study of </w:t>
      </w:r>
      <w:r w:rsidRPr="009D189E">
        <w:rPr>
          <w:rFonts w:eastAsia="Times New Roman" w:cs="Simplified Arabic"/>
          <w:i/>
          <w:iCs/>
          <w:sz w:val="28"/>
          <w:szCs w:val="28"/>
        </w:rPr>
        <w:t>Yanoff</w:t>
      </w:r>
      <w:r w:rsidRPr="009D189E">
        <w:rPr>
          <w:rFonts w:cs="Simplified Arabic"/>
          <w:i/>
          <w:iCs/>
          <w:sz w:val="28"/>
          <w:szCs w:val="28"/>
        </w:rPr>
        <w:t xml:space="preserve"> et al., </w:t>
      </w:r>
      <w:r w:rsidRPr="009D189E">
        <w:rPr>
          <w:rFonts w:cs="Simplified Arabic"/>
          <w:sz w:val="28"/>
          <w:szCs w:val="28"/>
          <w:vertAlign w:val="superscript"/>
        </w:rPr>
        <w:t>(29)</w:t>
      </w:r>
      <w:r w:rsidRPr="009D189E">
        <w:rPr>
          <w:rFonts w:cs="Simplified Arabic"/>
          <w:sz w:val="28"/>
          <w:szCs w:val="28"/>
        </w:rPr>
        <w:t>, where Serum iron was negatively correlated with BMI and fat mass in multivariate regression analyses that included sex, race, age and SES (P=0.0003 and P=0.0004, respectively).</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 xml:space="preserve">In contrast, </w:t>
      </w:r>
      <w:r w:rsidRPr="009D189E">
        <w:rPr>
          <w:rFonts w:cs="Simplified Arabic"/>
          <w:i/>
          <w:iCs/>
          <w:sz w:val="28"/>
          <w:szCs w:val="28"/>
        </w:rPr>
        <w:t xml:space="preserve">Dominique et al., </w:t>
      </w:r>
      <w:r w:rsidRPr="009D189E">
        <w:rPr>
          <w:rFonts w:cs="Simplified Arabic"/>
          <w:sz w:val="28"/>
          <w:szCs w:val="28"/>
          <w:vertAlign w:val="superscript"/>
        </w:rPr>
        <w:t>(9)</w:t>
      </w:r>
      <w:r w:rsidRPr="009D189E">
        <w:rPr>
          <w:rFonts w:cs="Simplified Arabic"/>
          <w:sz w:val="28"/>
          <w:szCs w:val="28"/>
        </w:rPr>
        <w:t xml:space="preserve"> found that increasing BMI was not associated with plasma levels of Zn, nor Fe or Fe storage parameters; the degree of overweight was not associated with an increased risk of deficiency. Their results did not show any relationship between Fe status and obesity grade while a correlation was displayed between ferritin and metabolic risk factors; this correlation did not depend on inflammation; it suggests that alteration of Fe parameters is mainly a marker of the progression of disease to complications than of overweight itself. They concluded that Increasing BMI was associated with inflammation, but no difference was found for TE status.using multivariate regression analysis.</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References</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Donohoue PA: (2004): Obesity. In: Behrman RE, Kliegman RM and Jenson HB (eds). Nelson textbook of Pediatrics,17th edition, volume 1. WB Saunders Company. 2004, chapter 43: 173-177.</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Poirier P, Giles TD and Bray GA (2006): Obesity and cardiovascular disease: pathophysiology, evaluation, and effect of weight loss".Arterioscler.Thromb.Vasc. Biol; 26 (5): 968–76.</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De Onis M and Blössner M (2000):  Prevalence and trends of overweight among pre-schoolchildren in developing countries. Am J Clin Nutr; 72: 1032–1039.</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El-Dory GF,   Algamal HA,   El-Din LB,   Rashad M and    El-Arab SE (2008): Relation between obesity, lipid profile, leptin and atopic disorders in children. Egyptian J of Pediatrics; 6(1): 27-34.</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Nowicka P: (2005): Childhood obesity. Acta Paediatr, 2005; 94(448): 23-29.</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Reilly JJ: (2006): Obesity in childhood and adolescence: evidence based clinical and public health perspectives. Postgraduate Medical Journal, 2006; 82: 429-437.</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Adair LS: (2008): Child and adolescent obesity: Epidemiology and developmental perspectives. Physiol. Behav., 2008; 84: 1-9.</w:t>
      </w:r>
    </w:p>
    <w:p w:rsidR="00FC47B6" w:rsidRPr="009D189E" w:rsidRDefault="00FC47B6" w:rsidP="009D189E">
      <w:pPr>
        <w:bidi w:val="0"/>
        <w:spacing w:line="360" w:lineRule="auto"/>
        <w:ind w:firstLine="720"/>
        <w:jc w:val="both"/>
        <w:rPr>
          <w:rFonts w:cs="Simplified Arabic"/>
          <w:sz w:val="28"/>
          <w:szCs w:val="28"/>
        </w:rPr>
      </w:pPr>
      <w:r w:rsidRPr="009D189E">
        <w:rPr>
          <w:rFonts w:cs="Simplified Arabic"/>
          <w:sz w:val="28"/>
          <w:szCs w:val="28"/>
        </w:rPr>
        <w:t>Frieden E (1984): A survey of the essential biochemical elements. In: Biochemistry of the essential trace elements. E Frieden ED; New York, Plenum Press; 1-15.</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Bougle D, François Bureau, Dominique Laroche (2009): Trace element status in obese children: Relationship with metabolic risk factors. the European e-Journal of Clinical Nutrition and Metabolism 4 (2009) e98–e100.</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Garcia, O.P., K.Z. Long, and J.L. Rosado, (2009): Impact of micronutrient deficiencies onobesity. Nutr Rev, 2009. 67(10): p. 559-72.</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El-Shakhs A.E. (1995): Familial Socioeconomic Status Scale. Anglo Library.2nd edition. (1995).</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 xml:space="preserve">Tanner JM, Whitehouse RH, Takaishi M: 1966: Standards from birth to maturity for height, weight, height velocity, and weight velocity: British children, 1965. </w:t>
      </w:r>
      <w:r w:rsidRPr="009D189E">
        <w:rPr>
          <w:rFonts w:cs="Simplified Arabic"/>
          <w:i/>
          <w:iCs/>
          <w:sz w:val="28"/>
          <w:szCs w:val="28"/>
        </w:rPr>
        <w:t xml:space="preserve">Arch Dis Child </w:t>
      </w:r>
      <w:r w:rsidRPr="009D189E">
        <w:rPr>
          <w:rFonts w:cs="Simplified Arabic"/>
          <w:sz w:val="28"/>
          <w:szCs w:val="28"/>
        </w:rPr>
        <w:t>1966, 41:454–613.</w:t>
      </w:r>
    </w:p>
    <w:p w:rsidR="00FC47B6" w:rsidRPr="009D189E" w:rsidRDefault="00FC47B6" w:rsidP="009D189E">
      <w:pPr>
        <w:numPr>
          <w:ilvl w:val="0"/>
          <w:numId w:val="11"/>
        </w:numPr>
        <w:shd w:val="clear" w:color="auto" w:fill="FFFFFF"/>
        <w:tabs>
          <w:tab w:val="left" w:pos="630"/>
        </w:tabs>
        <w:bidi w:val="0"/>
        <w:spacing w:line="360" w:lineRule="auto"/>
        <w:ind w:left="0"/>
        <w:jc w:val="both"/>
        <w:rPr>
          <w:rFonts w:cs="Simplified Arabic"/>
          <w:sz w:val="28"/>
          <w:szCs w:val="28"/>
        </w:rPr>
      </w:pPr>
      <w:r w:rsidRPr="009D189E">
        <w:rPr>
          <w:rFonts w:eastAsia="Times New Roman" w:cs="Simplified Arabic"/>
          <w:sz w:val="28"/>
          <w:szCs w:val="28"/>
        </w:rPr>
        <w:t>Cole TJ, Freeman JV, Preece MA: (1995): Body-mass index reference curves for the UK, 1990. Arch Dis Child 1995;73:25–9.</w:t>
      </w:r>
    </w:p>
    <w:p w:rsidR="00FC47B6" w:rsidRPr="009D189E" w:rsidRDefault="00FC47B6" w:rsidP="009D189E">
      <w:pPr>
        <w:numPr>
          <w:ilvl w:val="0"/>
          <w:numId w:val="11"/>
        </w:numPr>
        <w:shd w:val="clear" w:color="auto" w:fill="FFFFFF"/>
        <w:tabs>
          <w:tab w:val="left" w:pos="630"/>
        </w:tabs>
        <w:bidi w:val="0"/>
        <w:spacing w:line="360" w:lineRule="auto"/>
        <w:ind w:left="0"/>
        <w:jc w:val="both"/>
        <w:rPr>
          <w:rFonts w:cs="Simplified Arabic"/>
          <w:sz w:val="28"/>
          <w:szCs w:val="28"/>
        </w:rPr>
      </w:pPr>
      <w:r w:rsidRPr="009D189E">
        <w:rPr>
          <w:rFonts w:cs="Simplified Arabic"/>
          <w:sz w:val="28"/>
          <w:szCs w:val="28"/>
        </w:rPr>
        <w:t>Seidell JC, Perusse L, Despres JP and Bouchard C: (2001): Waist and hip circumferences have independent and opposite effects on cardiovascular disease risk factors: the Quebec Family Study. Am J Clin Nutr, 2001; 74(3): 315-21.</w:t>
      </w:r>
    </w:p>
    <w:p w:rsidR="00FC47B6" w:rsidRPr="009D189E" w:rsidRDefault="00FC47B6" w:rsidP="009D189E">
      <w:pPr>
        <w:numPr>
          <w:ilvl w:val="0"/>
          <w:numId w:val="11"/>
        </w:numPr>
        <w:shd w:val="clear" w:color="auto" w:fill="FFFFFF"/>
        <w:tabs>
          <w:tab w:val="left" w:pos="630"/>
        </w:tabs>
        <w:bidi w:val="0"/>
        <w:spacing w:line="360" w:lineRule="auto"/>
        <w:ind w:left="0"/>
        <w:jc w:val="both"/>
        <w:rPr>
          <w:rFonts w:cs="Simplified Arabic"/>
          <w:sz w:val="28"/>
          <w:szCs w:val="28"/>
        </w:rPr>
      </w:pPr>
      <w:r w:rsidRPr="009D189E">
        <w:rPr>
          <w:rFonts w:eastAsia="Times New Roman" w:cs="Simplified Arabic"/>
          <w:sz w:val="28"/>
          <w:szCs w:val="28"/>
        </w:rPr>
        <w:t xml:space="preserve">Marshall WA, Tanner JM. (1968): </w:t>
      </w:r>
      <w:hyperlink r:id="rId7" w:history="1">
        <w:r w:rsidRPr="009D189E">
          <w:rPr>
            <w:rFonts w:eastAsia="Times New Roman" w:cs="Simplified Arabic"/>
            <w:sz w:val="28"/>
            <w:szCs w:val="28"/>
          </w:rPr>
          <w:t>Growth and physiological development during adolescence.</w:t>
        </w:r>
      </w:hyperlink>
      <w:r w:rsidRPr="009D189E">
        <w:rPr>
          <w:rFonts w:eastAsia="Times New Roman" w:cs="Simplified Arabic"/>
          <w:sz w:val="28"/>
          <w:szCs w:val="28"/>
        </w:rPr>
        <w:t xml:space="preserve"> Annu Rev Med. 1968;19:283-300. Review. No abstract available.</w:t>
      </w:r>
    </w:p>
    <w:p w:rsidR="00FC47B6" w:rsidRPr="009D189E" w:rsidRDefault="00FC47B6" w:rsidP="009D189E">
      <w:pPr>
        <w:numPr>
          <w:ilvl w:val="0"/>
          <w:numId w:val="11"/>
        </w:numPr>
        <w:shd w:val="clear" w:color="auto" w:fill="FFFFFF"/>
        <w:tabs>
          <w:tab w:val="left" w:pos="630"/>
        </w:tabs>
        <w:bidi w:val="0"/>
        <w:spacing w:line="360" w:lineRule="auto"/>
        <w:ind w:left="0"/>
        <w:jc w:val="both"/>
        <w:rPr>
          <w:rFonts w:cs="Simplified Arabic"/>
          <w:sz w:val="28"/>
          <w:szCs w:val="28"/>
        </w:rPr>
      </w:pPr>
      <w:r w:rsidRPr="009D189E">
        <w:rPr>
          <w:rFonts w:cs="Simplified Arabic"/>
          <w:color w:val="333333"/>
          <w:sz w:val="28"/>
          <w:szCs w:val="28"/>
          <w:lang/>
        </w:rPr>
        <w:t xml:space="preserve">Taylor E (2006): Handbook of the SAS Trace Elements Laboratories, 4th Edition. available at: </w:t>
      </w:r>
      <w:hyperlink r:id="rId8" w:tgtFrame="_blank" w:history="1">
        <w:r w:rsidRPr="009D189E">
          <w:rPr>
            <w:rFonts w:cs="Simplified Arabic"/>
            <w:sz w:val="28"/>
            <w:szCs w:val="28"/>
            <w:lang/>
          </w:rPr>
          <w:t>www.sas-centre.org</w:t>
        </w:r>
      </w:hyperlink>
    </w:p>
    <w:p w:rsidR="00FC47B6" w:rsidRPr="009D189E" w:rsidRDefault="00FC47B6" w:rsidP="009D189E">
      <w:pPr>
        <w:numPr>
          <w:ilvl w:val="0"/>
          <w:numId w:val="11"/>
        </w:numPr>
        <w:tabs>
          <w:tab w:val="left" w:pos="630"/>
        </w:tabs>
        <w:bidi w:val="0"/>
        <w:spacing w:line="360" w:lineRule="auto"/>
        <w:ind w:left="0"/>
        <w:rPr>
          <w:rFonts w:cs="Simplified Arabic"/>
          <w:sz w:val="28"/>
          <w:szCs w:val="28"/>
        </w:rPr>
      </w:pPr>
      <w:hyperlink r:id="rId9" w:history="1">
        <w:r w:rsidRPr="009D189E">
          <w:rPr>
            <w:rFonts w:cs="Simplified Arabic"/>
            <w:sz w:val="28"/>
            <w:szCs w:val="28"/>
          </w:rPr>
          <w:t>Dietz WH</w:t>
        </w:r>
      </w:hyperlink>
      <w:r w:rsidRPr="009D189E">
        <w:rPr>
          <w:rFonts w:cs="Simplified Arabic"/>
          <w:sz w:val="28"/>
          <w:szCs w:val="28"/>
        </w:rPr>
        <w:t xml:space="preserve">, </w:t>
      </w:r>
      <w:hyperlink r:id="rId10" w:history="1">
        <w:r w:rsidRPr="009D189E">
          <w:rPr>
            <w:rFonts w:cs="Simplified Arabic"/>
            <w:sz w:val="28"/>
            <w:szCs w:val="28"/>
          </w:rPr>
          <w:t>Robinson TN</w:t>
        </w:r>
      </w:hyperlink>
      <w:r w:rsidRPr="009D189E">
        <w:rPr>
          <w:rFonts w:cs="Simplified Arabic"/>
          <w:sz w:val="28"/>
          <w:szCs w:val="28"/>
        </w:rPr>
        <w:t xml:space="preserve">.(1998): Use of the body mass index (BMI) as a measure of overweight in children and adolescents. </w:t>
      </w:r>
      <w:hyperlink r:id="rId11" w:tooltip="The Journal of pediatrics." w:history="1">
        <w:r w:rsidRPr="009D189E">
          <w:rPr>
            <w:rFonts w:cs="Simplified Arabic"/>
            <w:sz w:val="28"/>
            <w:szCs w:val="28"/>
          </w:rPr>
          <w:t>J Pediatr.</w:t>
        </w:r>
      </w:hyperlink>
      <w:r w:rsidRPr="009D189E">
        <w:rPr>
          <w:rFonts w:cs="Simplified Arabic"/>
          <w:sz w:val="28"/>
          <w:szCs w:val="28"/>
        </w:rPr>
        <w:t xml:space="preserve"> 1998 Feb;132(2):191-3.</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Marreiro, D.N., M. Fisberg, and S.M. Cozzolino, (2002): Zinc nutritional status in obese children and adolescents. Biol Trace Elem Res, 2002.86(2): p. 107-22.</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Shechter M, Merz CNB, Rude RK, et al. (2000): Low intracellular magnesium levels promote platelet-dependent thrombosis in patients with coronary artery disease. Am Heart J. 2000 140:212-218.</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Takaya J, Higashino H, Kotera F, et al. (2003): Intracellular magnesium of platelets in children with diabetes and obesity. Metabolism. 2003;52:468-471.</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Salem MA, El Alfy MS, El Beblawy NM SA, Tash FM, Kasem N and Hamed AA: (2005): Prevalence of obesity among Egyptian primary school children and its effect on haemostasis and thyroid functions. Egyptian Journal of Paediatrics, 2005; 22 (2 and 3): 433-452.</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 xml:space="preserve">Chan AY, Mak TW. Poon WT, Ling SC (2004): </w:t>
      </w:r>
      <w:hyperlink r:id="rId12" w:history="1">
        <w:r w:rsidRPr="009D189E">
          <w:rPr>
            <w:rFonts w:cs="Simplified Arabic"/>
            <w:sz w:val="28"/>
            <w:szCs w:val="28"/>
          </w:rPr>
          <w:t>Use of hair analysis in the diagnosis of heavy metal poisoning: report of three cases.</w:t>
        </w:r>
      </w:hyperlink>
      <w:r w:rsidRPr="009D189E">
        <w:rPr>
          <w:rFonts w:cs="Simplified Arabic"/>
          <w:sz w:val="28"/>
          <w:szCs w:val="28"/>
        </w:rPr>
        <w:t xml:space="preserve"> Hong Kong Med J. 2004 Jun;10(3):197-200.</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Pinhas-Hamiel O, Newfield RS, Koren I, Agmon A, Lilos P, Phillip M. (2003): Greater prevalence of iron deficiency in overweight and obese children and adolescents. Int J Obes Relat Metab Disord. 2003;27:416–418.</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Monteiro CA, Szarfarc SC, Mondini L. (2000): Secular trends in child anemia in São Paulo (1984-1996). Rev Public Health 2000; 34 (Suppl): S62-S72.</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 xml:space="preserve">Moayeri H, Bidad K, Zadhoush S, Gholami N, Anari S. (2006): </w:t>
      </w:r>
      <w:hyperlink r:id="rId13" w:history="1">
        <w:r w:rsidRPr="009D189E">
          <w:rPr>
            <w:rFonts w:cs="Simplified Arabic"/>
            <w:sz w:val="28"/>
            <w:szCs w:val="28"/>
          </w:rPr>
          <w:t>Increasing prevalence of iron deficiency in overweight and obese children and adolescents (Tehran Adolescent Obesity Study).</w:t>
        </w:r>
      </w:hyperlink>
      <w:r w:rsidRPr="009D189E">
        <w:rPr>
          <w:rFonts w:cs="Simplified Arabic"/>
          <w:sz w:val="28"/>
          <w:szCs w:val="28"/>
        </w:rPr>
        <w:t xml:space="preserve"> Eur J Pediatr. 2006 Nov;165(11):813-4. Epub 2006 May 30. No abstract available</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Chen, P. Lin, and W. Sheu, (1997): Zinc status in plasma of obese individuals during glucose administration, Biol. Trace Element Res. 60, 123–129 (1997).</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Perrone, G. Gialanella, R. Moro, S. L. Feng, E. Boccia, G. Palombo, et al., (1998): Zinc, copper, and iron in obese children and adolescents, Nutr. Res. 18, 183–189 (1998).</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Takaya J, Yamato F, Kuroyanagi Y,  Higashino H, Kaneko K (2010): Intracellular Magnesium of Obese and Type 2 Diabetes Mellitus Children. Diabetes Ther (2010) 1(1):25-31.</w:t>
      </w:r>
    </w:p>
    <w:p w:rsidR="00FC47B6" w:rsidRPr="009D189E" w:rsidRDefault="00FC47B6" w:rsidP="009D189E">
      <w:pPr>
        <w:numPr>
          <w:ilvl w:val="0"/>
          <w:numId w:val="11"/>
        </w:numPr>
        <w:tabs>
          <w:tab w:val="left" w:pos="630"/>
        </w:tabs>
        <w:bidi w:val="0"/>
        <w:spacing w:line="360" w:lineRule="auto"/>
        <w:ind w:left="0"/>
        <w:jc w:val="both"/>
        <w:rPr>
          <w:rFonts w:cs="Simplified Arabic"/>
          <w:sz w:val="28"/>
          <w:szCs w:val="28"/>
        </w:rPr>
      </w:pPr>
      <w:r w:rsidRPr="009D189E">
        <w:rPr>
          <w:rFonts w:cs="Simplified Arabic"/>
          <w:sz w:val="28"/>
          <w:szCs w:val="28"/>
        </w:rPr>
        <w:t>Yanoff LB, Menzie CM, Denkinger B, Sebring NG, McHugh T, Remaley AT, YanovskiJa. (2007): Inflammation and iron deficiency in thehypoferremia of obesity.Int J Obes (Lond) 2007; 31: 1412-1419.</w:t>
      </w:r>
    </w:p>
    <w:p w:rsidR="00FC47B6" w:rsidRPr="009D189E" w:rsidRDefault="00FC47B6" w:rsidP="009D189E">
      <w:pPr>
        <w:spacing w:line="360" w:lineRule="auto"/>
        <w:jc w:val="center"/>
        <w:rPr>
          <w:rFonts w:cs="Simplified Arabic"/>
          <w:sz w:val="28"/>
          <w:szCs w:val="28"/>
          <w:rtl/>
        </w:rPr>
      </w:pPr>
      <w:r w:rsidRPr="009D189E">
        <w:rPr>
          <w:rFonts w:cs="Simplified Arabic"/>
          <w:sz w:val="28"/>
          <w:szCs w:val="28"/>
          <w:rtl/>
        </w:rPr>
        <w:t>دراسة بعض العناصر النادرة و علاقتها بالسمنة فى وسط عينة من الأطفال و المراهقين المصريين</w:t>
      </w:r>
    </w:p>
    <w:p w:rsidR="00FC47B6" w:rsidRPr="009D189E" w:rsidRDefault="00FC47B6" w:rsidP="009D189E">
      <w:pPr>
        <w:spacing w:line="360" w:lineRule="auto"/>
        <w:jc w:val="center"/>
        <w:rPr>
          <w:rFonts w:cs="Simplified Arabic"/>
          <w:sz w:val="28"/>
          <w:szCs w:val="28"/>
          <w:u w:val="single"/>
          <w:rtl/>
        </w:rPr>
      </w:pPr>
      <w:r w:rsidRPr="009D189E">
        <w:rPr>
          <w:rFonts w:cs="Simplified Arabic"/>
          <w:sz w:val="28"/>
          <w:szCs w:val="28"/>
          <w:rtl/>
        </w:rPr>
        <w:t>أجريت هذه الدراسة لتحديد مستوى عناصر الزنك و النحاس و الحديد و الماغنسيوم فى مصل الدم و دراسة العلاقة بينهم و بين القياسات البشرية للأطفال و البالغين الذين يعانون من السمنة.</w:t>
      </w:r>
    </w:p>
    <w:p w:rsidR="00FC47B6" w:rsidRPr="009D189E" w:rsidRDefault="00FC47B6" w:rsidP="009D189E">
      <w:pPr>
        <w:spacing w:line="360" w:lineRule="auto"/>
        <w:jc w:val="center"/>
        <w:rPr>
          <w:rFonts w:cs="Simplified Arabic"/>
          <w:sz w:val="28"/>
          <w:szCs w:val="28"/>
          <w:rtl/>
        </w:rPr>
      </w:pPr>
      <w:r w:rsidRPr="009D189E">
        <w:rPr>
          <w:rFonts w:cs="Simplified Arabic"/>
          <w:sz w:val="28"/>
          <w:szCs w:val="28"/>
          <w:rtl/>
        </w:rPr>
        <w:t xml:space="preserve">و تضمنت الدراسة على أربعين طفل و بالغ يعانون  من السمنة و كانوا يترددون على عيادة السمنة بمستشفى الأطفال- جامعة عين شمس. و ذلك خلال الفترة ما بين سبتمبر </w:t>
      </w:r>
      <w:r w:rsidRPr="009D189E">
        <w:rPr>
          <w:rFonts w:ascii="Andalus" w:hAnsi="Andalus" w:cs="Simplified Arabic" w:hint="cs"/>
          <w:sz w:val="28"/>
          <w:szCs w:val="28"/>
          <w:rtl/>
        </w:rPr>
        <w:t>۲۰۱۱</w:t>
      </w:r>
      <w:r w:rsidRPr="009D189E">
        <w:rPr>
          <w:rFonts w:cs="Simplified Arabic"/>
          <w:sz w:val="28"/>
          <w:szCs w:val="28"/>
          <w:rtl/>
        </w:rPr>
        <w:t xml:space="preserve"> حتى أبريل </w:t>
      </w:r>
      <w:r w:rsidRPr="009D189E">
        <w:rPr>
          <w:rFonts w:ascii="Andalus" w:hAnsi="Andalus" w:cs="Simplified Arabic" w:hint="cs"/>
          <w:sz w:val="28"/>
          <w:szCs w:val="28"/>
          <w:rtl/>
        </w:rPr>
        <w:t>۲۰۱۲</w:t>
      </w:r>
      <w:r w:rsidRPr="009D189E">
        <w:rPr>
          <w:rFonts w:cs="Simplified Arabic"/>
          <w:sz w:val="28"/>
          <w:szCs w:val="28"/>
          <w:rtl/>
        </w:rPr>
        <w:t xml:space="preserve"> . تمت مقارنة هؤلاء المرضى بنظائرهم طبيعين متطابقين فى العمر, الجنس و مرحلة البلوغ .</w:t>
      </w:r>
    </w:p>
    <w:p w:rsidR="00FC47B6" w:rsidRPr="009D189E" w:rsidRDefault="00FC47B6" w:rsidP="009D189E">
      <w:pPr>
        <w:spacing w:line="360" w:lineRule="auto"/>
        <w:jc w:val="center"/>
        <w:rPr>
          <w:rFonts w:cs="Simplified Arabic"/>
          <w:sz w:val="28"/>
          <w:szCs w:val="28"/>
          <w:rtl/>
        </w:rPr>
      </w:pPr>
      <w:r w:rsidRPr="009D189E">
        <w:rPr>
          <w:rFonts w:cs="Simplified Arabic"/>
          <w:sz w:val="28"/>
          <w:szCs w:val="28"/>
          <w:rtl/>
        </w:rPr>
        <w:t>تم أخذ التاريخ المرضى كاملا مع التركيز على العمر و الجنس و الحالة الأجتماعية. و أيضا تم الفحص الأكينيكى خاصة القياسات البشرية (الوزن و الطول و مؤشر كتلة الجسم). و تم قياس سمك الجلد و محيط الخصر. و تم سحب عينات دم لتحليل نسبة وجود العناصر المدروسة (الزنك و النحاس و الحديد و الماغنسيوم).</w:t>
      </w:r>
    </w:p>
    <w:p w:rsidR="00FC47B6" w:rsidRPr="009D189E" w:rsidRDefault="00FC47B6" w:rsidP="009D189E">
      <w:pPr>
        <w:spacing w:line="360" w:lineRule="auto"/>
        <w:jc w:val="center"/>
        <w:rPr>
          <w:rFonts w:cs="Simplified Arabic"/>
          <w:sz w:val="28"/>
          <w:szCs w:val="28"/>
          <w:rtl/>
        </w:rPr>
      </w:pPr>
      <w:r w:rsidRPr="009D189E">
        <w:rPr>
          <w:rFonts w:cs="Simplified Arabic"/>
          <w:sz w:val="28"/>
          <w:szCs w:val="28"/>
          <w:rtl/>
        </w:rPr>
        <w:t>و قد وجدت علاقة طردية ذات قيمة احصائية بين مؤشر كتلة الجسم أس دى أس و كلا من العمر و سمك الجلد المحيط بالعضلة ثلاثية الرؤس.</w:t>
      </w:r>
    </w:p>
    <w:p w:rsidR="00FC47B6" w:rsidRPr="009D189E" w:rsidRDefault="00FC47B6" w:rsidP="009D189E">
      <w:pPr>
        <w:spacing w:line="360" w:lineRule="auto"/>
        <w:jc w:val="center"/>
        <w:rPr>
          <w:rFonts w:cs="Simplified Arabic"/>
          <w:sz w:val="28"/>
          <w:szCs w:val="28"/>
          <w:rtl/>
        </w:rPr>
      </w:pPr>
      <w:r w:rsidRPr="009D189E">
        <w:rPr>
          <w:rFonts w:cs="Simplified Arabic"/>
          <w:sz w:val="28"/>
          <w:szCs w:val="28"/>
          <w:rtl/>
        </w:rPr>
        <w:t>و بدراسة مؤشر كتلة الجسم اس دى اس, وجد انه كان ذو قيمة احصائية كعامل لوجود نقص فى الزينك و الحديد والماغنسيوم وأيضا كعامل لوجود ارتفاع مستوى عنصر النحاس بدم المرضى الذين يعانون من السمنة.</w:t>
      </w:r>
    </w:p>
    <w:p w:rsidR="00FC47B6" w:rsidRPr="009D189E" w:rsidRDefault="00FC47B6" w:rsidP="009D189E">
      <w:pPr>
        <w:spacing w:line="360" w:lineRule="auto"/>
        <w:jc w:val="center"/>
        <w:rPr>
          <w:rFonts w:cs="Simplified Arabic"/>
          <w:sz w:val="28"/>
          <w:szCs w:val="28"/>
        </w:rPr>
      </w:pPr>
    </w:p>
    <w:sectPr w:rsidR="00FC47B6" w:rsidRPr="009D189E" w:rsidSect="009D189E">
      <w:pgSz w:w="11906" w:h="16838"/>
      <w:pgMar w:top="1701" w:right="1701" w:bottom="1701" w:left="170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Palatino-Roman">
    <w:panose1 w:val="00000000000000000000"/>
    <w:charset w:val="B2"/>
    <w:family w:val="auto"/>
    <w:notTrueType/>
    <w:pitch w:val="default"/>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DE3"/>
    <w:multiLevelType w:val="multilevel"/>
    <w:tmpl w:val="1A00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B887561"/>
    <w:multiLevelType w:val="hybridMultilevel"/>
    <w:tmpl w:val="8F4CDE8C"/>
    <w:lvl w:ilvl="0" w:tplc="3D22C532">
      <w:start w:val="1"/>
      <w:numFmt w:val="decimal"/>
      <w:lvlText w:val="%1."/>
      <w:lvlJc w:val="left"/>
      <w:pPr>
        <w:ind w:left="810" w:hanging="360"/>
      </w:pPr>
      <w:rPr>
        <w:rFonts w:cs="Times New Roman"/>
        <w:b/>
        <w:bCs w:val="0"/>
      </w:rPr>
    </w:lvl>
    <w:lvl w:ilvl="1" w:tplc="E1202172">
      <w:start w:val="1"/>
      <w:numFmt w:val="lowerLetter"/>
      <w:lvlText w:val="%2."/>
      <w:lvlJc w:val="left"/>
      <w:pPr>
        <w:ind w:left="1530" w:hanging="360"/>
      </w:pPr>
      <w:rPr>
        <w:rFonts w:cs="Times New Roman"/>
        <w:b w:val="0"/>
        <w:bCs/>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
    <w:nsid w:val="293A62AF"/>
    <w:multiLevelType w:val="hybridMultilevel"/>
    <w:tmpl w:val="5920A5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09722A"/>
    <w:multiLevelType w:val="hybridMultilevel"/>
    <w:tmpl w:val="7E8669F8"/>
    <w:lvl w:ilvl="0" w:tplc="5514439E">
      <w:start w:val="1"/>
      <w:numFmt w:val="decimal"/>
      <w:lvlText w:val="%1-"/>
      <w:lvlJc w:val="left"/>
      <w:pPr>
        <w:ind w:left="720" w:hanging="360"/>
      </w:pPr>
      <w:rPr>
        <w:rFonts w:ascii="Times New Roman" w:eastAsia="SimSun" w:hAnsi="Times New Roman"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A6D28E4"/>
    <w:multiLevelType w:val="hybridMultilevel"/>
    <w:tmpl w:val="FCF27D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D7211E0"/>
    <w:multiLevelType w:val="multilevel"/>
    <w:tmpl w:val="04BAB3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5406580"/>
    <w:multiLevelType w:val="hybridMultilevel"/>
    <w:tmpl w:val="7E8669F8"/>
    <w:lvl w:ilvl="0" w:tplc="5514439E">
      <w:start w:val="1"/>
      <w:numFmt w:val="decimal"/>
      <w:lvlText w:val="%1-"/>
      <w:lvlJc w:val="left"/>
      <w:pPr>
        <w:ind w:left="720" w:hanging="360"/>
      </w:pPr>
      <w:rPr>
        <w:rFonts w:ascii="Times New Roman" w:eastAsia="SimSun" w:hAnsi="Times New Roman"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F62307D"/>
    <w:multiLevelType w:val="hybridMultilevel"/>
    <w:tmpl w:val="AF0002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E3D1F66"/>
    <w:multiLevelType w:val="hybridMultilevel"/>
    <w:tmpl w:val="92B84B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C2F182E"/>
    <w:multiLevelType w:val="hybridMultilevel"/>
    <w:tmpl w:val="31C22FDC"/>
    <w:lvl w:ilvl="0" w:tplc="A0A66EF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CCA5650"/>
    <w:multiLevelType w:val="hybridMultilevel"/>
    <w:tmpl w:val="1602A4A2"/>
    <w:lvl w:ilvl="0" w:tplc="924ACB7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0"/>
  </w:num>
  <w:num w:numId="4">
    <w:abstractNumId w:val="4"/>
  </w:num>
  <w:num w:numId="5">
    <w:abstractNumId w:val="8"/>
  </w:num>
  <w:num w:numId="6">
    <w:abstractNumId w:val="1"/>
  </w:num>
  <w:num w:numId="7">
    <w:abstractNumId w:val="6"/>
  </w:num>
  <w:num w:numId="8">
    <w:abstractNumId w:val="3"/>
  </w:num>
  <w:num w:numId="9">
    <w:abstractNumId w:val="5"/>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0DC"/>
    <w:rsid w:val="00095B32"/>
    <w:rsid w:val="000C3F58"/>
    <w:rsid w:val="00112B31"/>
    <w:rsid w:val="0011365E"/>
    <w:rsid w:val="00194291"/>
    <w:rsid w:val="001A4A1B"/>
    <w:rsid w:val="0020685B"/>
    <w:rsid w:val="00250057"/>
    <w:rsid w:val="00296524"/>
    <w:rsid w:val="0035792D"/>
    <w:rsid w:val="00451833"/>
    <w:rsid w:val="00452C2B"/>
    <w:rsid w:val="004F2DF2"/>
    <w:rsid w:val="00584286"/>
    <w:rsid w:val="00612F69"/>
    <w:rsid w:val="00647F0A"/>
    <w:rsid w:val="006B465A"/>
    <w:rsid w:val="006B5DB7"/>
    <w:rsid w:val="006C48D0"/>
    <w:rsid w:val="00703DD7"/>
    <w:rsid w:val="00710C6C"/>
    <w:rsid w:val="007A40DC"/>
    <w:rsid w:val="00804F07"/>
    <w:rsid w:val="00842268"/>
    <w:rsid w:val="00897F0B"/>
    <w:rsid w:val="008F0695"/>
    <w:rsid w:val="009C30B5"/>
    <w:rsid w:val="009D189E"/>
    <w:rsid w:val="00A33B01"/>
    <w:rsid w:val="00A37980"/>
    <w:rsid w:val="00A7313A"/>
    <w:rsid w:val="00AB7909"/>
    <w:rsid w:val="00AE69A9"/>
    <w:rsid w:val="00B33985"/>
    <w:rsid w:val="00BB04C5"/>
    <w:rsid w:val="00C212E7"/>
    <w:rsid w:val="00CE4B09"/>
    <w:rsid w:val="00D65CEF"/>
    <w:rsid w:val="00D668AF"/>
    <w:rsid w:val="00E03876"/>
    <w:rsid w:val="00E24A16"/>
    <w:rsid w:val="00E776E6"/>
    <w:rsid w:val="00F47EEC"/>
    <w:rsid w:val="00F6468E"/>
    <w:rsid w:val="00FB281A"/>
    <w:rsid w:val="00FC47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0DC"/>
    <w:pPr>
      <w:bidi/>
    </w:pPr>
    <w:rPr>
      <w:rFonts w:ascii="Times New Roman" w:eastAsia="SimSun" w:hAnsi="Times New Roman" w:cs="Times New Roman"/>
      <w:sz w:val="24"/>
      <w:szCs w:val="24"/>
      <w:lang w:eastAsia="zh-CN" w:bidi="ar-EG"/>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8374314">
      <w:marLeft w:val="0"/>
      <w:marRight w:val="0"/>
      <w:marTop w:val="0"/>
      <w:marBottom w:val="0"/>
      <w:divBdr>
        <w:top w:val="none" w:sz="0" w:space="0" w:color="auto"/>
        <w:left w:val="none" w:sz="0" w:space="0" w:color="auto"/>
        <w:bottom w:val="none" w:sz="0" w:space="0" w:color="auto"/>
        <w:right w:val="none" w:sz="0" w:space="0" w:color="auto"/>
      </w:divBdr>
      <w:divsChild>
        <w:div w:id="2138374323">
          <w:marLeft w:val="0"/>
          <w:marRight w:val="0"/>
          <w:marTop w:val="0"/>
          <w:marBottom w:val="0"/>
          <w:divBdr>
            <w:top w:val="none" w:sz="0" w:space="0" w:color="auto"/>
            <w:left w:val="none" w:sz="0" w:space="0" w:color="auto"/>
            <w:bottom w:val="none" w:sz="0" w:space="0" w:color="auto"/>
            <w:right w:val="none" w:sz="0" w:space="0" w:color="auto"/>
          </w:divBdr>
          <w:divsChild>
            <w:div w:id="2138374331">
              <w:marLeft w:val="0"/>
              <w:marRight w:val="0"/>
              <w:marTop w:val="0"/>
              <w:marBottom w:val="0"/>
              <w:divBdr>
                <w:top w:val="none" w:sz="0" w:space="0" w:color="auto"/>
                <w:left w:val="none" w:sz="0" w:space="0" w:color="auto"/>
                <w:bottom w:val="none" w:sz="0" w:space="0" w:color="auto"/>
                <w:right w:val="none" w:sz="0" w:space="0" w:color="auto"/>
              </w:divBdr>
              <w:divsChild>
                <w:div w:id="2138374321">
                  <w:marLeft w:val="0"/>
                  <w:marRight w:val="0"/>
                  <w:marTop w:val="0"/>
                  <w:marBottom w:val="0"/>
                  <w:divBdr>
                    <w:top w:val="none" w:sz="0" w:space="0" w:color="auto"/>
                    <w:left w:val="none" w:sz="0" w:space="0" w:color="auto"/>
                    <w:bottom w:val="none" w:sz="0" w:space="0" w:color="auto"/>
                    <w:right w:val="none" w:sz="0" w:space="0" w:color="auto"/>
                  </w:divBdr>
                  <w:divsChild>
                    <w:div w:id="2138374326">
                      <w:marLeft w:val="-15"/>
                      <w:marRight w:val="0"/>
                      <w:marTop w:val="0"/>
                      <w:marBottom w:val="0"/>
                      <w:divBdr>
                        <w:top w:val="none" w:sz="0" w:space="0" w:color="auto"/>
                        <w:left w:val="none" w:sz="0" w:space="0" w:color="auto"/>
                        <w:bottom w:val="none" w:sz="0" w:space="0" w:color="auto"/>
                        <w:right w:val="none" w:sz="0" w:space="0" w:color="auto"/>
                      </w:divBdr>
                      <w:divsChild>
                        <w:div w:id="2138374310">
                          <w:marLeft w:val="0"/>
                          <w:marRight w:val="0"/>
                          <w:marTop w:val="0"/>
                          <w:marBottom w:val="0"/>
                          <w:divBdr>
                            <w:top w:val="none" w:sz="0" w:space="0" w:color="auto"/>
                            <w:left w:val="none" w:sz="0" w:space="0" w:color="auto"/>
                            <w:bottom w:val="none" w:sz="0" w:space="0" w:color="auto"/>
                            <w:right w:val="none" w:sz="0" w:space="0" w:color="auto"/>
                          </w:divBdr>
                          <w:divsChild>
                            <w:div w:id="2138374318">
                              <w:marLeft w:val="0"/>
                              <w:marRight w:val="-15"/>
                              <w:marTop w:val="0"/>
                              <w:marBottom w:val="0"/>
                              <w:divBdr>
                                <w:top w:val="none" w:sz="0" w:space="0" w:color="auto"/>
                                <w:left w:val="none" w:sz="0" w:space="0" w:color="auto"/>
                                <w:bottom w:val="none" w:sz="0" w:space="0" w:color="auto"/>
                                <w:right w:val="none" w:sz="0" w:space="0" w:color="auto"/>
                              </w:divBdr>
                              <w:divsChild>
                                <w:div w:id="2138374320">
                                  <w:marLeft w:val="0"/>
                                  <w:marRight w:val="0"/>
                                  <w:marTop w:val="0"/>
                                  <w:marBottom w:val="0"/>
                                  <w:divBdr>
                                    <w:top w:val="none" w:sz="0" w:space="0" w:color="auto"/>
                                    <w:left w:val="none" w:sz="0" w:space="0" w:color="auto"/>
                                    <w:bottom w:val="none" w:sz="0" w:space="0" w:color="auto"/>
                                    <w:right w:val="none" w:sz="0" w:space="0" w:color="auto"/>
                                  </w:divBdr>
                                  <w:divsChild>
                                    <w:div w:id="2138374330">
                                      <w:marLeft w:val="0"/>
                                      <w:marRight w:val="0"/>
                                      <w:marTop w:val="0"/>
                                      <w:marBottom w:val="0"/>
                                      <w:divBdr>
                                        <w:top w:val="none" w:sz="0" w:space="0" w:color="auto"/>
                                        <w:left w:val="none" w:sz="0" w:space="0" w:color="auto"/>
                                        <w:bottom w:val="none" w:sz="0" w:space="0" w:color="auto"/>
                                        <w:right w:val="none" w:sz="0" w:space="0" w:color="auto"/>
                                      </w:divBdr>
                                      <w:divsChild>
                                        <w:div w:id="2138374317">
                                          <w:marLeft w:val="0"/>
                                          <w:marRight w:val="0"/>
                                          <w:marTop w:val="0"/>
                                          <w:marBottom w:val="0"/>
                                          <w:divBdr>
                                            <w:top w:val="none" w:sz="0" w:space="0" w:color="auto"/>
                                            <w:left w:val="none" w:sz="0" w:space="0" w:color="auto"/>
                                            <w:bottom w:val="none" w:sz="0" w:space="0" w:color="auto"/>
                                            <w:right w:val="none" w:sz="0" w:space="0" w:color="auto"/>
                                          </w:divBdr>
                                          <w:divsChild>
                                            <w:div w:id="2138374311">
                                              <w:marLeft w:val="0"/>
                                              <w:marRight w:val="0"/>
                                              <w:marTop w:val="0"/>
                                              <w:marBottom w:val="0"/>
                                              <w:divBdr>
                                                <w:top w:val="none" w:sz="0" w:space="0" w:color="auto"/>
                                                <w:left w:val="none" w:sz="0" w:space="0" w:color="auto"/>
                                                <w:bottom w:val="none" w:sz="0" w:space="0" w:color="auto"/>
                                                <w:right w:val="none" w:sz="0" w:space="0" w:color="auto"/>
                                              </w:divBdr>
                                              <w:divsChild>
                                                <w:div w:id="2138374313">
                                                  <w:marLeft w:val="0"/>
                                                  <w:marRight w:val="0"/>
                                                  <w:marTop w:val="0"/>
                                                  <w:marBottom w:val="0"/>
                                                  <w:divBdr>
                                                    <w:top w:val="none" w:sz="0" w:space="0" w:color="auto"/>
                                                    <w:left w:val="none" w:sz="0" w:space="0" w:color="auto"/>
                                                    <w:bottom w:val="none" w:sz="0" w:space="0" w:color="auto"/>
                                                    <w:right w:val="none" w:sz="0" w:space="0" w:color="auto"/>
                                                  </w:divBdr>
                                                  <w:divsChild>
                                                    <w:div w:id="2138374324">
                                                      <w:marLeft w:val="0"/>
                                                      <w:marRight w:val="0"/>
                                                      <w:marTop w:val="0"/>
                                                      <w:marBottom w:val="0"/>
                                                      <w:divBdr>
                                                        <w:top w:val="none" w:sz="0" w:space="0" w:color="auto"/>
                                                        <w:left w:val="none" w:sz="0" w:space="0" w:color="auto"/>
                                                        <w:bottom w:val="none" w:sz="0" w:space="0" w:color="auto"/>
                                                        <w:right w:val="none" w:sz="0" w:space="0" w:color="auto"/>
                                                      </w:divBdr>
                                                      <w:divsChild>
                                                        <w:div w:id="2138374309">
                                                          <w:marLeft w:val="0"/>
                                                          <w:marRight w:val="0"/>
                                                          <w:marTop w:val="0"/>
                                                          <w:marBottom w:val="150"/>
                                                          <w:divBdr>
                                                            <w:top w:val="none" w:sz="0" w:space="0" w:color="auto"/>
                                                            <w:left w:val="none" w:sz="0" w:space="0" w:color="auto"/>
                                                            <w:bottom w:val="none" w:sz="0" w:space="0" w:color="auto"/>
                                                            <w:right w:val="none" w:sz="0" w:space="0" w:color="auto"/>
                                                          </w:divBdr>
                                                          <w:divsChild>
                                                            <w:div w:id="2138374332">
                                                              <w:marLeft w:val="0"/>
                                                              <w:marRight w:val="0"/>
                                                              <w:marTop w:val="0"/>
                                                              <w:marBottom w:val="0"/>
                                                              <w:divBdr>
                                                                <w:top w:val="none" w:sz="0" w:space="0" w:color="auto"/>
                                                                <w:left w:val="none" w:sz="0" w:space="0" w:color="auto"/>
                                                                <w:bottom w:val="none" w:sz="0" w:space="0" w:color="auto"/>
                                                                <w:right w:val="none" w:sz="0" w:space="0" w:color="auto"/>
                                                              </w:divBdr>
                                                              <w:divsChild>
                                                                <w:div w:id="2138374319">
                                                                  <w:marLeft w:val="0"/>
                                                                  <w:marRight w:val="0"/>
                                                                  <w:marTop w:val="0"/>
                                                                  <w:marBottom w:val="0"/>
                                                                  <w:divBdr>
                                                                    <w:top w:val="none" w:sz="0" w:space="0" w:color="auto"/>
                                                                    <w:left w:val="none" w:sz="0" w:space="0" w:color="auto"/>
                                                                    <w:bottom w:val="none" w:sz="0" w:space="0" w:color="auto"/>
                                                                    <w:right w:val="none" w:sz="0" w:space="0" w:color="auto"/>
                                                                  </w:divBdr>
                                                                  <w:divsChild>
                                                                    <w:div w:id="2138374308">
                                                                      <w:marLeft w:val="0"/>
                                                                      <w:marRight w:val="0"/>
                                                                      <w:marTop w:val="0"/>
                                                                      <w:marBottom w:val="0"/>
                                                                      <w:divBdr>
                                                                        <w:top w:val="none" w:sz="0" w:space="0" w:color="auto"/>
                                                                        <w:left w:val="none" w:sz="0" w:space="0" w:color="auto"/>
                                                                        <w:bottom w:val="none" w:sz="0" w:space="0" w:color="auto"/>
                                                                        <w:right w:val="none" w:sz="0" w:space="0" w:color="auto"/>
                                                                      </w:divBdr>
                                                                      <w:divsChild>
                                                                        <w:div w:id="2138374315">
                                                                          <w:marLeft w:val="0"/>
                                                                          <w:marRight w:val="0"/>
                                                                          <w:marTop w:val="0"/>
                                                                          <w:marBottom w:val="0"/>
                                                                          <w:divBdr>
                                                                            <w:top w:val="none" w:sz="0" w:space="0" w:color="auto"/>
                                                                            <w:left w:val="none" w:sz="0" w:space="0" w:color="auto"/>
                                                                            <w:bottom w:val="none" w:sz="0" w:space="0" w:color="auto"/>
                                                                            <w:right w:val="none" w:sz="0" w:space="0" w:color="auto"/>
                                                                          </w:divBdr>
                                                                          <w:divsChild>
                                                                            <w:div w:id="2138374327">
                                                                              <w:marLeft w:val="0"/>
                                                                              <w:marRight w:val="0"/>
                                                                              <w:marTop w:val="0"/>
                                                                              <w:marBottom w:val="0"/>
                                                                              <w:divBdr>
                                                                                <w:top w:val="none" w:sz="0" w:space="0" w:color="auto"/>
                                                                                <w:left w:val="none" w:sz="0" w:space="0" w:color="auto"/>
                                                                                <w:bottom w:val="none" w:sz="0" w:space="0" w:color="auto"/>
                                                                                <w:right w:val="none" w:sz="0" w:space="0" w:color="auto"/>
                                                                              </w:divBdr>
                                                                              <w:divsChild>
                                                                                <w:div w:id="21383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374322">
      <w:marLeft w:val="0"/>
      <w:marRight w:val="0"/>
      <w:marTop w:val="0"/>
      <w:marBottom w:val="0"/>
      <w:divBdr>
        <w:top w:val="none" w:sz="0" w:space="0" w:color="auto"/>
        <w:left w:val="none" w:sz="0" w:space="0" w:color="auto"/>
        <w:bottom w:val="none" w:sz="0" w:space="0" w:color="auto"/>
        <w:right w:val="none" w:sz="0" w:space="0" w:color="auto"/>
      </w:divBdr>
      <w:divsChild>
        <w:div w:id="2138374307">
          <w:marLeft w:val="0"/>
          <w:marRight w:val="0"/>
          <w:marTop w:val="150"/>
          <w:marBottom w:val="0"/>
          <w:divBdr>
            <w:top w:val="none" w:sz="0" w:space="0" w:color="auto"/>
            <w:left w:val="none" w:sz="0" w:space="0" w:color="auto"/>
            <w:bottom w:val="none" w:sz="0" w:space="0" w:color="auto"/>
            <w:right w:val="none" w:sz="0" w:space="0" w:color="auto"/>
          </w:divBdr>
          <w:divsChild>
            <w:div w:id="2138374316">
              <w:marLeft w:val="0"/>
              <w:marRight w:val="0"/>
              <w:marTop w:val="0"/>
              <w:marBottom w:val="0"/>
              <w:divBdr>
                <w:top w:val="none" w:sz="0" w:space="0" w:color="auto"/>
                <w:left w:val="none" w:sz="0" w:space="0" w:color="auto"/>
                <w:bottom w:val="none" w:sz="0" w:space="0" w:color="auto"/>
                <w:right w:val="none" w:sz="0" w:space="0" w:color="auto"/>
              </w:divBdr>
              <w:divsChild>
                <w:div w:id="2138374328">
                  <w:marLeft w:val="0"/>
                  <w:marRight w:val="0"/>
                  <w:marTop w:val="0"/>
                  <w:marBottom w:val="0"/>
                  <w:divBdr>
                    <w:top w:val="none" w:sz="0" w:space="0" w:color="auto"/>
                    <w:left w:val="none" w:sz="0" w:space="0" w:color="auto"/>
                    <w:bottom w:val="none" w:sz="0" w:space="0" w:color="auto"/>
                    <w:right w:val="none" w:sz="0" w:space="0" w:color="auto"/>
                  </w:divBdr>
                  <w:divsChild>
                    <w:div w:id="2138374329">
                      <w:marLeft w:val="0"/>
                      <w:marRight w:val="0"/>
                      <w:marTop w:val="168"/>
                      <w:marBottom w:val="0"/>
                      <w:divBdr>
                        <w:top w:val="none" w:sz="0" w:space="0" w:color="auto"/>
                        <w:left w:val="none" w:sz="0" w:space="0" w:color="auto"/>
                        <w:bottom w:val="none" w:sz="0" w:space="0" w:color="auto"/>
                        <w:right w:val="none" w:sz="0" w:space="0" w:color="auto"/>
                      </w:divBdr>
                      <w:divsChild>
                        <w:div w:id="21383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s-centre.org" TargetMode="External"/><Relationship Id="rId13" Type="http://schemas.openxmlformats.org/officeDocument/2006/relationships/hyperlink" Target="http://www.ncbi.nlm.nih.gov/pubmed/16733667" TargetMode="External"/><Relationship Id="rId3" Type="http://schemas.openxmlformats.org/officeDocument/2006/relationships/settings" Target="settings.xml"/><Relationship Id="rId7" Type="http://schemas.openxmlformats.org/officeDocument/2006/relationships/hyperlink" Target="http://www.ncbi.nlm.nih.gov/pubmed/4297619" TargetMode="External"/><Relationship Id="rId12" Type="http://schemas.openxmlformats.org/officeDocument/2006/relationships/hyperlink" Target="http://www.ncbi.nlm.nih.gov/pubmed/15181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Logistic_regression" TargetMode="External"/><Relationship Id="rId11" Type="http://schemas.openxmlformats.org/officeDocument/2006/relationships/hyperlink" Target="http://www.ncbi.nlm.nih.gov/pubmed?term=Dietz%20and%20Robinson%20(199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ncbi.nlm.nih.gov/pubmed?term=Robinson%20TN%5BAuthor%5D&amp;cauthor=true&amp;cauthor_uid=9506622" TargetMode="External"/><Relationship Id="rId4" Type="http://schemas.openxmlformats.org/officeDocument/2006/relationships/webSettings" Target="webSettings.xml"/><Relationship Id="rId9" Type="http://schemas.openxmlformats.org/officeDocument/2006/relationships/hyperlink" Target="http://www.ncbi.nlm.nih.gov/pubmed?term=Dietz%20WH%5BAuthor%5D&amp;cauthor=true&amp;cauthor_uid=95066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18</Pages>
  <Words>3725</Words>
  <Characters>21234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Trace Elements and Its Relation to obesity Among A Sample of Egyptian Children and Adolescents</dc:title>
  <dc:subject/>
  <dc:creator>Reem</dc:creator>
  <cp:keywords/>
  <dc:description/>
  <cp:lastModifiedBy>mdht</cp:lastModifiedBy>
  <cp:revision>3</cp:revision>
  <cp:lastPrinted>2012-06-24T06:49:00Z</cp:lastPrinted>
  <dcterms:created xsi:type="dcterms:W3CDTF">2012-06-26T11:08:00Z</dcterms:created>
  <dcterms:modified xsi:type="dcterms:W3CDTF">2012-06-26T11:16:00Z</dcterms:modified>
</cp:coreProperties>
</file>