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37" w:rsidRDefault="000A3F37" w:rsidP="000A3F37">
      <w:pPr>
        <w:bidi w:val="0"/>
        <w:jc w:val="center"/>
      </w:pPr>
      <w:r w:rsidRPr="00944AF3">
        <w:rPr>
          <w:rFonts w:ascii="Tahoma" w:hAnsi="Tahoma" w:cs="Tahoma"/>
          <w:b/>
          <w:bCs/>
          <w:sz w:val="32"/>
          <w:szCs w:val="32"/>
          <w:lang w:bidi="ar-EG"/>
        </w:rPr>
        <w:t xml:space="preserve">Effect of Antiepileptic Drugs on Serum Serotonin Level among Children with </w:t>
      </w:r>
      <w:r w:rsidRPr="00C160BC">
        <w:rPr>
          <w:rFonts w:ascii="Tahoma" w:hAnsi="Tahoma" w:cs="Tahoma"/>
          <w:b/>
          <w:bCs/>
          <w:sz w:val="32"/>
          <w:szCs w:val="32"/>
          <w:lang w:bidi="ar-EG"/>
        </w:rPr>
        <w:t>Idiopathic Epilepsy</w:t>
      </w:r>
      <w:r w:rsidRPr="00C160BC">
        <w:t xml:space="preserve"> </w:t>
      </w:r>
    </w:p>
    <w:p w:rsidR="000A3F37" w:rsidRPr="00C160BC" w:rsidRDefault="000A3F37" w:rsidP="000A3F37">
      <w:pPr>
        <w:bidi w:val="0"/>
        <w:jc w:val="center"/>
      </w:pPr>
    </w:p>
    <w:p w:rsidR="000A3F37" w:rsidRPr="00BD4E3A" w:rsidRDefault="000A3F37" w:rsidP="00881C83">
      <w:pPr>
        <w:bidi w:val="0"/>
        <w:jc w:val="center"/>
        <w:rPr>
          <w:rFonts w:asciiTheme="majorBidi" w:hAnsiTheme="majorBidi" w:cstheme="majorBidi"/>
          <w:i/>
          <w:iCs/>
        </w:rPr>
      </w:pPr>
      <w:proofErr w:type="spellStart"/>
      <w:r w:rsidRPr="00BD4E3A">
        <w:rPr>
          <w:rFonts w:asciiTheme="majorBidi" w:hAnsiTheme="majorBidi" w:cstheme="majorBidi"/>
          <w:i/>
          <w:iCs/>
        </w:rPr>
        <w:t>ElShourbagy</w:t>
      </w:r>
      <w:proofErr w:type="spellEnd"/>
      <w:r w:rsidR="00881C83" w:rsidRPr="00BD4E3A">
        <w:rPr>
          <w:rFonts w:asciiTheme="majorBidi" w:hAnsiTheme="majorBidi" w:cstheme="majorBidi"/>
          <w:i/>
          <w:iCs/>
        </w:rPr>
        <w:t xml:space="preserve"> </w:t>
      </w:r>
      <w:proofErr w:type="spellStart"/>
      <w:r w:rsidR="00881C83" w:rsidRPr="00BD4E3A">
        <w:rPr>
          <w:rFonts w:asciiTheme="majorBidi" w:hAnsiTheme="majorBidi" w:cstheme="majorBidi"/>
          <w:i/>
          <w:iCs/>
        </w:rPr>
        <w:t>O</w:t>
      </w:r>
      <w:r w:rsidRPr="00BD4E3A">
        <w:rPr>
          <w:rFonts w:asciiTheme="majorBidi" w:hAnsiTheme="majorBidi" w:cstheme="majorBidi"/>
          <w:i/>
          <w:iCs/>
          <w:vertAlign w:val="superscript"/>
        </w:rPr>
        <w:t>a</w:t>
      </w:r>
      <w:proofErr w:type="spellEnd"/>
      <w:r w:rsidRPr="00BD4E3A">
        <w:rPr>
          <w:rFonts w:asciiTheme="majorBidi" w:hAnsiTheme="majorBidi" w:cstheme="majorBidi"/>
          <w:i/>
          <w:iCs/>
        </w:rPr>
        <w:t xml:space="preserve">, </w:t>
      </w:r>
      <w:proofErr w:type="spellStart"/>
      <w:r w:rsidRPr="00BD4E3A">
        <w:rPr>
          <w:rFonts w:asciiTheme="majorBidi" w:hAnsiTheme="majorBidi" w:cstheme="majorBidi"/>
          <w:i/>
          <w:iCs/>
        </w:rPr>
        <w:t>ElGebally</w:t>
      </w:r>
      <w:proofErr w:type="spellEnd"/>
      <w:r w:rsidR="00881C83" w:rsidRPr="00BD4E3A">
        <w:rPr>
          <w:rFonts w:asciiTheme="majorBidi" w:hAnsiTheme="majorBidi" w:cstheme="majorBidi"/>
          <w:i/>
          <w:iCs/>
        </w:rPr>
        <w:t xml:space="preserve"> </w:t>
      </w:r>
      <w:proofErr w:type="gramStart"/>
      <w:r w:rsidR="00881C83" w:rsidRPr="00BD4E3A">
        <w:rPr>
          <w:rFonts w:asciiTheme="majorBidi" w:hAnsiTheme="majorBidi" w:cstheme="majorBidi"/>
          <w:i/>
          <w:iCs/>
        </w:rPr>
        <w:t xml:space="preserve">H  </w:t>
      </w:r>
      <w:r w:rsidRPr="00BD4E3A">
        <w:rPr>
          <w:rFonts w:asciiTheme="majorBidi" w:hAnsiTheme="majorBidi" w:cstheme="majorBidi"/>
          <w:i/>
          <w:iCs/>
          <w:vertAlign w:val="superscript"/>
        </w:rPr>
        <w:t>a</w:t>
      </w:r>
      <w:proofErr w:type="gramEnd"/>
      <w:r w:rsidRPr="00BD4E3A">
        <w:rPr>
          <w:rFonts w:asciiTheme="majorBidi" w:hAnsiTheme="majorBidi" w:cstheme="majorBidi"/>
          <w:i/>
          <w:iCs/>
        </w:rPr>
        <w:t xml:space="preserve">, </w:t>
      </w:r>
      <w:proofErr w:type="spellStart"/>
      <w:r w:rsidRPr="00BD4E3A">
        <w:rPr>
          <w:rFonts w:asciiTheme="majorBidi" w:hAnsiTheme="majorBidi" w:cstheme="majorBidi"/>
          <w:i/>
          <w:iCs/>
        </w:rPr>
        <w:t>Zeitoun</w:t>
      </w:r>
      <w:proofErr w:type="spellEnd"/>
      <w:r w:rsidR="00881C83" w:rsidRPr="00BD4E3A">
        <w:rPr>
          <w:rFonts w:asciiTheme="majorBidi" w:hAnsiTheme="majorBidi" w:cstheme="majorBidi"/>
          <w:i/>
          <w:iCs/>
        </w:rPr>
        <w:t xml:space="preserve"> Y </w:t>
      </w:r>
      <w:r w:rsidRPr="00BD4E3A">
        <w:rPr>
          <w:rFonts w:asciiTheme="majorBidi" w:hAnsiTheme="majorBidi" w:cstheme="majorBidi"/>
          <w:i/>
          <w:iCs/>
          <w:vertAlign w:val="superscript"/>
        </w:rPr>
        <w:t xml:space="preserve">b </w:t>
      </w:r>
      <w:r w:rsidRPr="00BD4E3A">
        <w:rPr>
          <w:rFonts w:asciiTheme="majorBidi" w:hAnsiTheme="majorBidi" w:cstheme="majorBidi"/>
          <w:i/>
          <w:iCs/>
        </w:rPr>
        <w:t xml:space="preserve">,  </w:t>
      </w:r>
      <w:proofErr w:type="spellStart"/>
      <w:r w:rsidRPr="00BD4E3A">
        <w:rPr>
          <w:rFonts w:asciiTheme="majorBidi" w:hAnsiTheme="majorBidi" w:cstheme="majorBidi"/>
          <w:i/>
          <w:iCs/>
        </w:rPr>
        <w:t>Aly</w:t>
      </w:r>
      <w:proofErr w:type="spellEnd"/>
      <w:r w:rsidR="00881C83" w:rsidRPr="00BD4E3A">
        <w:rPr>
          <w:rFonts w:asciiTheme="majorBidi" w:hAnsiTheme="majorBidi" w:cstheme="majorBidi"/>
          <w:i/>
          <w:iCs/>
        </w:rPr>
        <w:t xml:space="preserve"> R </w:t>
      </w:r>
      <w:r w:rsidRPr="00BD4E3A">
        <w:rPr>
          <w:rFonts w:asciiTheme="majorBidi" w:hAnsiTheme="majorBidi" w:cstheme="majorBidi"/>
          <w:i/>
          <w:iCs/>
          <w:vertAlign w:val="superscript"/>
        </w:rPr>
        <w:t>c</w:t>
      </w:r>
      <w:r w:rsidRPr="00BD4E3A">
        <w:rPr>
          <w:rFonts w:asciiTheme="majorBidi" w:hAnsiTheme="majorBidi" w:cstheme="majorBidi"/>
          <w:i/>
          <w:iCs/>
        </w:rPr>
        <w:t xml:space="preserve"> and </w:t>
      </w:r>
      <w:proofErr w:type="spellStart"/>
      <w:r w:rsidRPr="00BD4E3A">
        <w:rPr>
          <w:rFonts w:asciiTheme="majorBidi" w:hAnsiTheme="majorBidi" w:cstheme="majorBidi"/>
          <w:i/>
          <w:iCs/>
        </w:rPr>
        <w:t>Elkhayat</w:t>
      </w:r>
      <w:proofErr w:type="spellEnd"/>
      <w:r w:rsidR="00881C83" w:rsidRPr="00BD4E3A">
        <w:rPr>
          <w:rFonts w:asciiTheme="majorBidi" w:hAnsiTheme="majorBidi" w:cstheme="majorBidi"/>
          <w:i/>
          <w:iCs/>
        </w:rPr>
        <w:t xml:space="preserve"> S </w:t>
      </w:r>
      <w:r w:rsidRPr="00BD4E3A">
        <w:rPr>
          <w:rFonts w:asciiTheme="majorBidi" w:hAnsiTheme="majorBidi" w:cstheme="majorBidi"/>
          <w:i/>
          <w:iCs/>
          <w:vertAlign w:val="superscript"/>
        </w:rPr>
        <w:t>a</w:t>
      </w:r>
    </w:p>
    <w:p w:rsidR="000A3F37" w:rsidRDefault="000A3F37" w:rsidP="000A3F37">
      <w:pPr>
        <w:bidi w:val="0"/>
        <w:jc w:val="center"/>
        <w:rPr>
          <w:vertAlign w:val="superscript"/>
        </w:rPr>
      </w:pPr>
    </w:p>
    <w:p w:rsidR="000A3F37" w:rsidRPr="00BD4E3A" w:rsidRDefault="000A3F37" w:rsidP="00881C83">
      <w:pPr>
        <w:bidi w:val="0"/>
        <w:rPr>
          <w:sz w:val="20"/>
          <w:szCs w:val="20"/>
          <w:lang w:eastAsia="ar-EG" w:bidi="ar-EG"/>
        </w:rPr>
      </w:pPr>
      <w:proofErr w:type="gramStart"/>
      <w:r w:rsidRPr="00BD4E3A">
        <w:rPr>
          <w:sz w:val="20"/>
          <w:szCs w:val="20"/>
          <w:vertAlign w:val="superscript"/>
        </w:rPr>
        <w:t>a</w:t>
      </w:r>
      <w:proofErr w:type="gramEnd"/>
      <w:r w:rsidRPr="00BD4E3A">
        <w:rPr>
          <w:sz w:val="20"/>
          <w:szCs w:val="20"/>
          <w:lang w:eastAsia="ar-EG" w:bidi="ar-EG"/>
        </w:rPr>
        <w:t xml:space="preserve"> </w:t>
      </w:r>
      <w:r w:rsidR="00881C83" w:rsidRPr="00BD4E3A">
        <w:rPr>
          <w:i/>
          <w:iCs/>
          <w:sz w:val="20"/>
          <w:szCs w:val="20"/>
          <w:lang w:eastAsia="ar-EG" w:bidi="ar-EG"/>
        </w:rPr>
        <w:t>M</w:t>
      </w:r>
      <w:r w:rsidRPr="00BD4E3A">
        <w:rPr>
          <w:i/>
          <w:iCs/>
          <w:sz w:val="20"/>
          <w:szCs w:val="20"/>
          <w:lang w:eastAsia="ar-EG" w:bidi="ar-EG"/>
        </w:rPr>
        <w:t xml:space="preserve">edical </w:t>
      </w:r>
      <w:r w:rsidR="00881C83" w:rsidRPr="00BD4E3A">
        <w:rPr>
          <w:i/>
          <w:iCs/>
          <w:sz w:val="20"/>
          <w:szCs w:val="20"/>
          <w:lang w:eastAsia="ar-EG" w:bidi="ar-EG"/>
        </w:rPr>
        <w:t>S</w:t>
      </w:r>
      <w:r w:rsidRPr="00BD4E3A">
        <w:rPr>
          <w:i/>
          <w:iCs/>
          <w:sz w:val="20"/>
          <w:szCs w:val="20"/>
          <w:lang w:eastAsia="ar-EG" w:bidi="ar-EG"/>
        </w:rPr>
        <w:t>tudies</w:t>
      </w:r>
      <w:r w:rsidR="00881C83" w:rsidRPr="00BD4E3A">
        <w:rPr>
          <w:i/>
          <w:iCs/>
          <w:sz w:val="20"/>
          <w:szCs w:val="20"/>
          <w:lang w:eastAsia="ar-EG" w:bidi="ar-EG"/>
        </w:rPr>
        <w:t xml:space="preserve"> Department</w:t>
      </w:r>
      <w:r w:rsidRPr="00BD4E3A">
        <w:rPr>
          <w:i/>
          <w:iCs/>
          <w:sz w:val="20"/>
          <w:szCs w:val="20"/>
          <w:lang w:eastAsia="ar-EG" w:bidi="ar-EG"/>
        </w:rPr>
        <w:t xml:space="preserve">, </w:t>
      </w:r>
      <w:r w:rsidRPr="00BD4E3A">
        <w:rPr>
          <w:i/>
          <w:iCs/>
          <w:sz w:val="22"/>
          <w:szCs w:val="22"/>
        </w:rPr>
        <w:t xml:space="preserve">Institute of </w:t>
      </w:r>
      <w:r w:rsidR="00881C83" w:rsidRPr="00BD4E3A">
        <w:rPr>
          <w:i/>
          <w:iCs/>
          <w:sz w:val="22"/>
          <w:szCs w:val="22"/>
        </w:rPr>
        <w:t>P</w:t>
      </w:r>
      <w:r w:rsidRPr="00BD4E3A">
        <w:rPr>
          <w:i/>
          <w:iCs/>
          <w:sz w:val="22"/>
          <w:szCs w:val="22"/>
        </w:rPr>
        <w:t xml:space="preserve">ostgraduate </w:t>
      </w:r>
      <w:r w:rsidR="00881C83" w:rsidRPr="00BD4E3A">
        <w:rPr>
          <w:i/>
          <w:iCs/>
          <w:sz w:val="22"/>
          <w:szCs w:val="22"/>
        </w:rPr>
        <w:t>C</w:t>
      </w:r>
      <w:r w:rsidRPr="00BD4E3A">
        <w:rPr>
          <w:i/>
          <w:iCs/>
          <w:sz w:val="22"/>
          <w:szCs w:val="22"/>
        </w:rPr>
        <w:t xml:space="preserve">hildhood </w:t>
      </w:r>
      <w:r w:rsidR="00881C83" w:rsidRPr="00BD4E3A">
        <w:rPr>
          <w:i/>
          <w:iCs/>
          <w:sz w:val="22"/>
          <w:szCs w:val="22"/>
        </w:rPr>
        <w:t>S</w:t>
      </w:r>
      <w:r w:rsidRPr="00BD4E3A">
        <w:rPr>
          <w:i/>
          <w:iCs/>
          <w:sz w:val="22"/>
          <w:szCs w:val="22"/>
        </w:rPr>
        <w:t xml:space="preserve">tudies, </w:t>
      </w:r>
      <w:r w:rsidRPr="00BD4E3A">
        <w:rPr>
          <w:i/>
          <w:iCs/>
          <w:sz w:val="20"/>
          <w:szCs w:val="20"/>
          <w:lang w:eastAsia="ar-EG" w:bidi="ar-EG"/>
        </w:rPr>
        <w:t>Ain Shams University,</w:t>
      </w:r>
      <w:r w:rsidRPr="00BD4E3A">
        <w:rPr>
          <w:i/>
          <w:iCs/>
          <w:sz w:val="20"/>
          <w:szCs w:val="20"/>
        </w:rPr>
        <w:t xml:space="preserve"> Cairo,</w:t>
      </w:r>
      <w:r w:rsidRPr="00BD4E3A">
        <w:rPr>
          <w:i/>
          <w:iCs/>
          <w:sz w:val="20"/>
          <w:szCs w:val="20"/>
          <w:lang w:eastAsia="ar-EG" w:bidi="ar-EG"/>
        </w:rPr>
        <w:t xml:space="preserve"> Egypt</w:t>
      </w:r>
    </w:p>
    <w:p w:rsidR="000A3F37" w:rsidRPr="00BD4E3A" w:rsidRDefault="000A3F37" w:rsidP="000A3F37">
      <w:pPr>
        <w:pStyle w:val="Standard"/>
        <w:jc w:val="both"/>
        <w:rPr>
          <w:i/>
          <w:iCs/>
          <w:sz w:val="20"/>
          <w:szCs w:val="20"/>
          <w:lang w:val="en-US" w:eastAsia="ar-EG" w:bidi="ar-EG"/>
        </w:rPr>
      </w:pPr>
      <w:proofErr w:type="gramStart"/>
      <w:r w:rsidRPr="00BD4E3A">
        <w:rPr>
          <w:sz w:val="20"/>
          <w:szCs w:val="20"/>
          <w:vertAlign w:val="superscript"/>
        </w:rPr>
        <w:t>b</w:t>
      </w:r>
      <w:proofErr w:type="gramEnd"/>
      <w:r w:rsidRPr="00BD4E3A">
        <w:rPr>
          <w:sz w:val="20"/>
          <w:szCs w:val="20"/>
          <w:vertAlign w:val="superscript"/>
        </w:rPr>
        <w:t xml:space="preserve"> </w:t>
      </w:r>
      <w:r w:rsidRPr="00BD4E3A">
        <w:rPr>
          <w:i/>
          <w:iCs/>
          <w:sz w:val="20"/>
          <w:szCs w:val="20"/>
          <w:lang w:val="en-US" w:eastAsia="ar-EG" w:bidi="ar-EG"/>
        </w:rPr>
        <w:t xml:space="preserve">Department of </w:t>
      </w:r>
      <w:r w:rsidRPr="00BD4E3A">
        <w:rPr>
          <w:i/>
          <w:iCs/>
          <w:sz w:val="22"/>
          <w:szCs w:val="22"/>
        </w:rPr>
        <w:t>Clinical Pathology</w:t>
      </w:r>
      <w:r w:rsidRPr="00BD4E3A">
        <w:rPr>
          <w:i/>
          <w:iCs/>
          <w:sz w:val="20"/>
          <w:szCs w:val="20"/>
          <w:lang w:val="en-US" w:eastAsia="ar-EG" w:bidi="ar-EG"/>
        </w:rPr>
        <w:t>, Faculty of Medicine, Ain Shams University,</w:t>
      </w:r>
      <w:r w:rsidRPr="00BD4E3A">
        <w:rPr>
          <w:i/>
          <w:iCs/>
          <w:sz w:val="20"/>
          <w:szCs w:val="20"/>
          <w:lang w:val="en-US"/>
        </w:rPr>
        <w:t xml:space="preserve"> Cairo,</w:t>
      </w:r>
      <w:r w:rsidRPr="00BD4E3A">
        <w:rPr>
          <w:i/>
          <w:iCs/>
          <w:sz w:val="20"/>
          <w:szCs w:val="20"/>
          <w:lang w:val="en-US" w:eastAsia="ar-EG" w:bidi="ar-EG"/>
        </w:rPr>
        <w:t xml:space="preserve"> Egypt.</w:t>
      </w:r>
    </w:p>
    <w:p w:rsidR="000A3F37" w:rsidRPr="00BD4E3A" w:rsidRDefault="000A3F37" w:rsidP="000A3F37">
      <w:pPr>
        <w:pStyle w:val="Standard"/>
        <w:jc w:val="both"/>
        <w:rPr>
          <w:i/>
          <w:iCs/>
          <w:sz w:val="20"/>
          <w:szCs w:val="20"/>
          <w:lang w:val="en-US" w:eastAsia="ar-EG" w:bidi="ar-EG"/>
        </w:rPr>
      </w:pPr>
      <w:proofErr w:type="gramStart"/>
      <w:r w:rsidRPr="00BD4E3A">
        <w:rPr>
          <w:i/>
          <w:iCs/>
          <w:sz w:val="20"/>
          <w:szCs w:val="20"/>
          <w:lang w:val="en-US" w:eastAsia="ar-EG" w:bidi="ar-EG"/>
        </w:rPr>
        <w:t>c</w:t>
      </w:r>
      <w:proofErr w:type="gramEnd"/>
      <w:r w:rsidRPr="00BD4E3A">
        <w:rPr>
          <w:i/>
          <w:iCs/>
          <w:sz w:val="20"/>
          <w:szCs w:val="20"/>
          <w:lang w:val="en-US" w:eastAsia="ar-EG" w:bidi="ar-EG"/>
        </w:rPr>
        <w:t xml:space="preserve"> Department of pediatrics, Faculty of Medicine, Ain Shams University,</w:t>
      </w:r>
      <w:r w:rsidRPr="00BD4E3A">
        <w:rPr>
          <w:i/>
          <w:iCs/>
          <w:sz w:val="20"/>
          <w:szCs w:val="20"/>
          <w:lang w:val="en-US"/>
        </w:rPr>
        <w:t xml:space="preserve"> Cairo,</w:t>
      </w:r>
      <w:r w:rsidRPr="00BD4E3A">
        <w:rPr>
          <w:i/>
          <w:iCs/>
          <w:sz w:val="20"/>
          <w:szCs w:val="20"/>
          <w:lang w:val="en-US" w:eastAsia="ar-EG" w:bidi="ar-EG"/>
        </w:rPr>
        <w:t xml:space="preserve"> Egypt</w:t>
      </w:r>
    </w:p>
    <w:p w:rsidR="000A3F37" w:rsidRPr="00BD4E3A" w:rsidRDefault="000A3F37" w:rsidP="000A3F37">
      <w:pPr>
        <w:bidi w:val="0"/>
        <w:spacing w:before="240" w:after="480" w:line="420" w:lineRule="atLeast"/>
        <w:rPr>
          <w:b/>
          <w:bCs/>
          <w:sz w:val="28"/>
          <w:szCs w:val="28"/>
        </w:rPr>
      </w:pPr>
      <w:r w:rsidRPr="00BD4E3A">
        <w:rPr>
          <w:b/>
          <w:bCs/>
          <w:sz w:val="28"/>
          <w:szCs w:val="28"/>
        </w:rPr>
        <w:t>Abstract</w:t>
      </w:r>
    </w:p>
    <w:p w:rsidR="007073B0" w:rsidRPr="00BD4E3A" w:rsidRDefault="00302870" w:rsidP="007073B0">
      <w:pPr>
        <w:bidi w:val="0"/>
        <w:spacing w:before="240"/>
        <w:jc w:val="lowKashida"/>
        <w:rPr>
          <w:b/>
          <w:bCs/>
        </w:rPr>
      </w:pPr>
      <w:r w:rsidRPr="00BD4E3A">
        <w:rPr>
          <w:b/>
          <w:bCs/>
        </w:rPr>
        <w:t>Background:</w:t>
      </w:r>
      <w:r w:rsidR="007073B0" w:rsidRPr="00BD4E3A">
        <w:rPr>
          <w:b/>
          <w:bCs/>
        </w:rPr>
        <w:t xml:space="preserve"> </w:t>
      </w:r>
      <w:r w:rsidR="007073B0" w:rsidRPr="00BD4E3A">
        <w:rPr>
          <w:rFonts w:eastAsia="Calibri"/>
        </w:rPr>
        <w:t>Epilepsy represents a heterogeneous group of disorders with diverse etiologies, electrographically, behaviorally seizure patterns and pharmacological sensitivities.</w:t>
      </w:r>
    </w:p>
    <w:p w:rsidR="000A3F37" w:rsidRPr="00BD4E3A" w:rsidRDefault="000A3F37" w:rsidP="00302870">
      <w:pPr>
        <w:bidi w:val="0"/>
        <w:spacing w:before="240"/>
        <w:rPr>
          <w:rFonts w:eastAsia="Calibri"/>
        </w:rPr>
      </w:pPr>
      <w:r w:rsidRPr="00BD4E3A">
        <w:rPr>
          <w:b/>
          <w:bCs/>
        </w:rPr>
        <w:t>Objectives:</w:t>
      </w:r>
      <w:r w:rsidRPr="00BD4E3A">
        <w:rPr>
          <w:rFonts w:eastAsia="Calibri"/>
        </w:rPr>
        <w:t xml:space="preserve"> To evaluate the status of serotonin in newly diagnosed cases of idiopathic epilepsy and to correlate these levels to the response to therapy.</w:t>
      </w:r>
    </w:p>
    <w:p w:rsidR="000A3F37" w:rsidRPr="00BD4E3A" w:rsidRDefault="000A3F37" w:rsidP="007073B0">
      <w:pPr>
        <w:bidi w:val="0"/>
        <w:spacing w:before="240" w:after="480" w:line="420" w:lineRule="atLeast"/>
        <w:jc w:val="both"/>
      </w:pPr>
      <w:r w:rsidRPr="00BD4E3A">
        <w:rPr>
          <w:b/>
          <w:bCs/>
        </w:rPr>
        <w:t>Methodology:</w:t>
      </w:r>
      <w:r w:rsidRPr="00BD4E3A">
        <w:rPr>
          <w:rFonts w:eastAsia="Calibri"/>
          <w:bCs/>
          <w:iCs/>
          <w:color w:val="000000"/>
          <w:sz w:val="22"/>
          <w:szCs w:val="22"/>
        </w:rPr>
        <w:t xml:space="preserve"> </w:t>
      </w:r>
      <w:r w:rsidRPr="00BD4E3A">
        <w:rPr>
          <w:rFonts w:eastAsia="Calibri"/>
          <w:bCs/>
          <w:iCs/>
          <w:color w:val="000000"/>
        </w:rPr>
        <w:t>A</w:t>
      </w:r>
      <w:r w:rsidR="007073B0" w:rsidRPr="00BD4E3A">
        <w:rPr>
          <w:rFonts w:eastAsia="Calibri"/>
          <w:bCs/>
          <w:iCs/>
          <w:color w:val="000000"/>
        </w:rPr>
        <w:t xml:space="preserve">n interventional </w:t>
      </w:r>
      <w:r w:rsidR="007073B0" w:rsidRPr="00BD4E3A">
        <w:rPr>
          <w:rFonts w:eastAsia="Calibri"/>
          <w:color w:val="000000"/>
        </w:rPr>
        <w:t xml:space="preserve">clinical </w:t>
      </w:r>
      <w:r w:rsidR="007073B0" w:rsidRPr="00BD4E3A">
        <w:rPr>
          <w:rFonts w:eastAsia="Calibri"/>
          <w:bCs/>
          <w:iCs/>
          <w:color w:val="000000"/>
        </w:rPr>
        <w:t>study</w:t>
      </w:r>
      <w:r w:rsidR="007073B0" w:rsidRPr="00BD4E3A">
        <w:rPr>
          <w:rFonts w:eastAsia="Calibri"/>
          <w:lang w:bidi="ar-EG"/>
        </w:rPr>
        <w:t xml:space="preserve"> </w:t>
      </w:r>
      <w:r w:rsidRPr="00BD4E3A">
        <w:rPr>
          <w:rFonts w:eastAsia="Calibri"/>
          <w:bCs/>
          <w:iCs/>
          <w:color w:val="000000"/>
        </w:rPr>
        <w:t xml:space="preserve">was performed </w:t>
      </w:r>
      <w:r w:rsidRPr="00BD4E3A">
        <w:rPr>
          <w:rFonts w:eastAsia="Calibri"/>
        </w:rPr>
        <w:t>on 30 children with idiopathic epilepsy</w:t>
      </w:r>
      <w:r w:rsidRPr="00BD4E3A">
        <w:rPr>
          <w:sz w:val="22"/>
          <w:szCs w:val="22"/>
        </w:rPr>
        <w:t xml:space="preserve"> </w:t>
      </w:r>
      <w:r w:rsidRPr="00BD4E3A">
        <w:rPr>
          <w:rFonts w:eastAsia="Calibri"/>
          <w:lang w:bidi="ar-EG"/>
        </w:rPr>
        <w:t>on their first presentation before administration of any AED and further follow-up after 3 and five months of AED therapy. Thirty</w:t>
      </w:r>
      <w:r w:rsidRPr="00BD4E3A">
        <w:rPr>
          <w:rFonts w:eastAsia="Calibri"/>
          <w:color w:val="000000"/>
          <w:lang w:bidi="ar-EG"/>
        </w:rPr>
        <w:t xml:space="preserve"> </w:t>
      </w:r>
      <w:r w:rsidRPr="00BD4E3A">
        <w:rPr>
          <w:rFonts w:eastAsia="Calibri"/>
          <w:lang w:bidi="ar-EG"/>
        </w:rPr>
        <w:t>apparently healthy for age and sex matched to epileptic children served as controls.</w:t>
      </w:r>
      <w:r w:rsidRPr="00BD4E3A">
        <w:rPr>
          <w:rFonts w:eastAsia="Calibri"/>
          <w:b/>
          <w:bCs/>
          <w:lang w:bidi="ar-EG"/>
        </w:rPr>
        <w:t xml:space="preserve"> </w:t>
      </w:r>
      <w:r w:rsidRPr="00BD4E3A">
        <w:rPr>
          <w:rFonts w:eastAsia="Calibri"/>
          <w:lang w:bidi="ar-EG"/>
        </w:rPr>
        <w:t>Serum levels of serotonin were estimated to the included subjects.</w:t>
      </w:r>
      <w:r w:rsidR="00881C83" w:rsidRPr="00BD4E3A">
        <w:rPr>
          <w:color w:val="FF0000"/>
          <w:sz w:val="22"/>
          <w:szCs w:val="22"/>
        </w:rPr>
        <w:t xml:space="preserve"> </w:t>
      </w:r>
      <w:r w:rsidR="00881C83" w:rsidRPr="00BD4E3A">
        <w:t>Subjects were able to give a written informed consent prior to participation in this study.</w:t>
      </w:r>
    </w:p>
    <w:p w:rsidR="000A3F37" w:rsidRPr="00BD4E3A" w:rsidRDefault="000A3F37" w:rsidP="00881C83">
      <w:pPr>
        <w:bidi w:val="0"/>
        <w:spacing w:before="240" w:after="480" w:line="420" w:lineRule="atLeast"/>
        <w:jc w:val="both"/>
        <w:rPr>
          <w:rFonts w:eastAsia="SimSun"/>
          <w:lang w:eastAsia="zh-CN"/>
        </w:rPr>
      </w:pPr>
      <w:r w:rsidRPr="00BD4E3A">
        <w:rPr>
          <w:b/>
          <w:bCs/>
        </w:rPr>
        <w:t>Results:</w:t>
      </w:r>
      <w:r w:rsidRPr="00BD4E3A">
        <w:rPr>
          <w:sz w:val="28"/>
          <w:szCs w:val="28"/>
        </w:rPr>
        <w:t xml:space="preserve"> </w:t>
      </w:r>
      <w:r w:rsidRPr="00BD4E3A">
        <w:t>There was s</w:t>
      </w:r>
      <w:r w:rsidRPr="00BD4E3A">
        <w:rPr>
          <w:rFonts w:eastAsia="SimSun"/>
          <w:lang w:eastAsia="zh-CN"/>
        </w:rPr>
        <w:t>ignificant good response to AED</w:t>
      </w:r>
      <w:r w:rsidR="00881C83" w:rsidRPr="00BD4E3A">
        <w:rPr>
          <w:rFonts w:eastAsia="SimSun"/>
          <w:lang w:eastAsia="zh-CN"/>
        </w:rPr>
        <w:t>s</w:t>
      </w:r>
      <w:r w:rsidRPr="00BD4E3A">
        <w:rPr>
          <w:rFonts w:eastAsia="SimSun"/>
          <w:lang w:eastAsia="zh-CN"/>
        </w:rPr>
        <w:t xml:space="preserve"> in idiopathic epileptic children since the increase in time intervals from the last seizure</w:t>
      </w:r>
      <w:r w:rsidR="00B2768A" w:rsidRPr="00BD4E3A">
        <w:rPr>
          <w:rFonts w:eastAsia="SimSun"/>
          <w:lang w:eastAsia="zh-CN"/>
        </w:rPr>
        <w:t xml:space="preserve"> </w:t>
      </w:r>
      <w:r w:rsidRPr="00BD4E3A">
        <w:rPr>
          <w:rFonts w:eastAsia="SimSun"/>
          <w:lang w:eastAsia="zh-CN"/>
        </w:rPr>
        <w:t>(P&lt;0.001). Chalfont severity scales were significantly decreased after starting AED therapy and throughout all stages of the study</w:t>
      </w:r>
      <w:r w:rsidR="00881C83" w:rsidRPr="00BD4E3A">
        <w:rPr>
          <w:rFonts w:eastAsia="SimSun"/>
          <w:lang w:eastAsia="zh-CN"/>
        </w:rPr>
        <w:t xml:space="preserve"> baseline</w:t>
      </w:r>
      <w:r w:rsidRPr="00BD4E3A">
        <w:rPr>
          <w:rFonts w:eastAsia="SimSun"/>
          <w:lang w:eastAsia="zh-CN"/>
        </w:rPr>
        <w:t>; 3 and</w:t>
      </w:r>
      <w:r w:rsidR="00881C83" w:rsidRPr="00BD4E3A">
        <w:rPr>
          <w:rFonts w:eastAsia="SimSun"/>
          <w:lang w:eastAsia="zh-CN"/>
        </w:rPr>
        <w:t xml:space="preserve"> </w:t>
      </w:r>
      <w:r w:rsidRPr="00BD4E3A">
        <w:rPr>
          <w:rFonts w:eastAsia="SimSun"/>
          <w:lang w:eastAsia="zh-CN"/>
        </w:rPr>
        <w:t>5 months</w:t>
      </w:r>
      <w:r w:rsidR="00881C83" w:rsidRPr="00BD4E3A">
        <w:rPr>
          <w:rFonts w:eastAsia="SimSun"/>
          <w:lang w:eastAsia="zh-CN"/>
        </w:rPr>
        <w:t xml:space="preserve"> follow up</w:t>
      </w:r>
      <w:r w:rsidRPr="00BD4E3A">
        <w:rPr>
          <w:rFonts w:eastAsia="SimSun"/>
          <w:lang w:eastAsia="zh-CN"/>
        </w:rPr>
        <w:t xml:space="preserve"> (P&lt;0001).Serum serotonin median levels were increased after us</w:t>
      </w:r>
      <w:r w:rsidR="00881C83" w:rsidRPr="00BD4E3A">
        <w:rPr>
          <w:rFonts w:eastAsia="SimSun"/>
          <w:lang w:eastAsia="zh-CN"/>
        </w:rPr>
        <w:t>ing</w:t>
      </w:r>
      <w:r w:rsidRPr="00BD4E3A">
        <w:rPr>
          <w:rFonts w:eastAsia="SimSun"/>
          <w:lang w:eastAsia="zh-CN"/>
        </w:rPr>
        <w:t xml:space="preserve"> AEDs</w:t>
      </w:r>
      <w:r w:rsidR="00881C83" w:rsidRPr="00BD4E3A">
        <w:rPr>
          <w:rFonts w:eastAsia="SimSun"/>
          <w:lang w:eastAsia="zh-CN"/>
        </w:rPr>
        <w:t>,</w:t>
      </w:r>
      <w:r w:rsidRPr="00BD4E3A">
        <w:rPr>
          <w:rFonts w:eastAsia="SimSun"/>
          <w:lang w:eastAsia="zh-CN"/>
        </w:rPr>
        <w:t xml:space="preserve"> especially after 5 months from the base</w:t>
      </w:r>
      <w:r w:rsidR="00881C83" w:rsidRPr="00BD4E3A">
        <w:rPr>
          <w:rFonts w:eastAsia="SimSun"/>
          <w:lang w:eastAsia="zh-CN"/>
        </w:rPr>
        <w:t>-</w:t>
      </w:r>
      <w:r w:rsidRPr="00BD4E3A">
        <w:rPr>
          <w:rFonts w:eastAsia="SimSun"/>
          <w:lang w:eastAsia="zh-CN"/>
        </w:rPr>
        <w:t xml:space="preserve"> </w:t>
      </w:r>
      <w:r w:rsidR="008B4125" w:rsidRPr="00BD4E3A">
        <w:rPr>
          <w:rFonts w:eastAsia="SimSun"/>
          <w:lang w:eastAsia="zh-CN"/>
        </w:rPr>
        <w:t>line, with</w:t>
      </w:r>
      <w:r w:rsidRPr="00BD4E3A">
        <w:rPr>
          <w:rFonts w:eastAsia="SimSun"/>
          <w:lang w:eastAsia="zh-CN"/>
        </w:rPr>
        <w:t xml:space="preserve"> further significant increase in </w:t>
      </w:r>
      <w:proofErr w:type="spellStart"/>
      <w:r w:rsidRPr="00BD4E3A">
        <w:rPr>
          <w:rFonts w:eastAsia="SimSun"/>
          <w:lang w:eastAsia="zh-CN"/>
        </w:rPr>
        <w:t>levetiracetam</w:t>
      </w:r>
      <w:proofErr w:type="spellEnd"/>
      <w:r w:rsidRPr="00BD4E3A">
        <w:rPr>
          <w:rFonts w:eastAsia="SimSun"/>
          <w:lang w:eastAsia="zh-CN"/>
        </w:rPr>
        <w:t xml:space="preserve"> group (P</w:t>
      </w:r>
      <w:r w:rsidR="007073B0" w:rsidRPr="00BD4E3A">
        <w:rPr>
          <w:rFonts w:eastAsia="SimSun"/>
          <w:lang w:eastAsia="zh-CN"/>
        </w:rPr>
        <w:t>=</w:t>
      </w:r>
      <w:r w:rsidRPr="00BD4E3A">
        <w:rPr>
          <w:rFonts w:eastAsia="SimSun"/>
          <w:lang w:eastAsia="zh-CN"/>
        </w:rPr>
        <w:t xml:space="preserve">0.036). Median levels of serotonin were not significantly different among baseline levels, and after 3 - 5 months. However, there was a significant decrease in the median serotonin levels after 5 months in comparison to the group after 3 </w:t>
      </w:r>
      <w:r w:rsidR="008B4125" w:rsidRPr="00BD4E3A">
        <w:rPr>
          <w:rFonts w:eastAsia="SimSun"/>
          <w:lang w:eastAsia="zh-CN"/>
        </w:rPr>
        <w:t>months; reaching</w:t>
      </w:r>
      <w:r w:rsidRPr="00BD4E3A">
        <w:rPr>
          <w:rFonts w:eastAsia="SimSun"/>
          <w:lang w:eastAsia="zh-CN"/>
        </w:rPr>
        <w:t xml:space="preserve"> almost to the baseline levels (P</w:t>
      </w:r>
      <w:r w:rsidR="00881C83" w:rsidRPr="00BD4E3A">
        <w:rPr>
          <w:rFonts w:eastAsia="SimSun"/>
          <w:lang w:eastAsia="zh-CN"/>
        </w:rPr>
        <w:t>=</w:t>
      </w:r>
      <w:r w:rsidRPr="00BD4E3A">
        <w:rPr>
          <w:rFonts w:eastAsia="SimSun"/>
          <w:lang w:eastAsia="zh-CN"/>
        </w:rPr>
        <w:t>0.023).</w:t>
      </w:r>
    </w:p>
    <w:p w:rsidR="000A3F37" w:rsidRPr="00BD4E3A" w:rsidRDefault="000A3F37" w:rsidP="00881C83">
      <w:pPr>
        <w:bidi w:val="0"/>
        <w:spacing w:before="240" w:after="480"/>
        <w:jc w:val="both"/>
        <w:rPr>
          <w:b/>
          <w:bCs/>
        </w:rPr>
      </w:pPr>
      <w:r w:rsidRPr="00BD4E3A">
        <w:rPr>
          <w:b/>
          <w:bCs/>
        </w:rPr>
        <w:t xml:space="preserve">Conclusion: </w:t>
      </w:r>
      <w:r w:rsidR="00881C83" w:rsidRPr="00BD4E3A">
        <w:rPr>
          <w:rFonts w:eastAsia="Calibri"/>
        </w:rPr>
        <w:t>S</w:t>
      </w:r>
      <w:r w:rsidRPr="00BD4E3A">
        <w:rPr>
          <w:rFonts w:eastAsia="Calibri"/>
        </w:rPr>
        <w:t xml:space="preserve">erum serotonin levels among epileptic children are controversial and it might be multifactorial affected by using antiepileptics and therapy duration. </w:t>
      </w:r>
    </w:p>
    <w:p w:rsidR="000A3F37" w:rsidRPr="00BD4E3A" w:rsidRDefault="000A3F37" w:rsidP="000A3F37">
      <w:pPr>
        <w:bidi w:val="0"/>
        <w:spacing w:before="240" w:after="480"/>
        <w:jc w:val="both"/>
      </w:pPr>
      <w:r w:rsidRPr="00BD4E3A">
        <w:rPr>
          <w:b/>
          <w:bCs/>
        </w:rPr>
        <w:t xml:space="preserve">Keywords: </w:t>
      </w:r>
      <w:r w:rsidRPr="00BD4E3A">
        <w:t>Serum serotonin, Antiepileptic drugs, Epilepsy, Children.</w:t>
      </w:r>
    </w:p>
    <w:p w:rsidR="00BD4E3A" w:rsidRDefault="00BD4E3A" w:rsidP="000A3F37">
      <w:pPr>
        <w:bidi w:val="0"/>
        <w:spacing w:before="240" w:after="480"/>
        <w:rPr>
          <w:b/>
          <w:bCs/>
          <w:sz w:val="32"/>
          <w:szCs w:val="32"/>
        </w:rPr>
      </w:pPr>
    </w:p>
    <w:p w:rsidR="000A3F37" w:rsidRPr="0049021F" w:rsidRDefault="000A3F37" w:rsidP="00BD4E3A">
      <w:pPr>
        <w:bidi w:val="0"/>
        <w:spacing w:before="240" w:after="480"/>
        <w:rPr>
          <w:b/>
          <w:bCs/>
          <w:sz w:val="32"/>
          <w:szCs w:val="32"/>
        </w:rPr>
      </w:pPr>
      <w:r w:rsidRPr="0049021F">
        <w:rPr>
          <w:b/>
          <w:bCs/>
          <w:sz w:val="32"/>
          <w:szCs w:val="32"/>
        </w:rPr>
        <w:lastRenderedPageBreak/>
        <w:t>Introduction</w:t>
      </w:r>
      <w:r>
        <w:rPr>
          <w:b/>
          <w:bCs/>
          <w:sz w:val="32"/>
          <w:szCs w:val="32"/>
        </w:rPr>
        <w:t>:</w:t>
      </w:r>
    </w:p>
    <w:p w:rsidR="000A3F37" w:rsidRPr="00BF6A60" w:rsidRDefault="000A3F37" w:rsidP="000A3F37">
      <w:pPr>
        <w:bidi w:val="0"/>
        <w:spacing w:before="240" w:line="276" w:lineRule="auto"/>
        <w:ind w:firstLine="426"/>
        <w:jc w:val="both"/>
        <w:rPr>
          <w:rFonts w:ascii="Freehand471 BT" w:hAnsi="Freehand471 BT"/>
          <w:b/>
          <w:bCs/>
          <w:sz w:val="40"/>
          <w:szCs w:val="40"/>
        </w:rPr>
      </w:pPr>
      <w:r w:rsidRPr="00BF6A60">
        <w:rPr>
          <w:rFonts w:eastAsia="Calibri"/>
          <w:sz w:val="28"/>
          <w:szCs w:val="28"/>
        </w:rPr>
        <w:t xml:space="preserve">Epilepsy represents a heterogeneous group of disorders with diverse etiologies, electrographically, </w:t>
      </w:r>
      <w:r w:rsidR="008B4125" w:rsidRPr="00BF6A60">
        <w:rPr>
          <w:rFonts w:eastAsia="Calibri"/>
          <w:sz w:val="28"/>
          <w:szCs w:val="28"/>
        </w:rPr>
        <w:t>behaviorally</w:t>
      </w:r>
      <w:r w:rsidRPr="00BF6A60">
        <w:rPr>
          <w:rFonts w:eastAsia="Calibri"/>
          <w:sz w:val="28"/>
          <w:szCs w:val="28"/>
        </w:rPr>
        <w:t xml:space="preserve"> seizure patterns and pharmacological sensitivities. Although the causes of epilepsy are many, the fundamental disorder is secondary to abnormal synchronous discharges of a network of neurons. Epilepsy can be caused by either abnormal ionic conductance or other alteration of neuronal membranes, or an imbalance between excitatory and inhibitory influences </w:t>
      </w:r>
      <w:r w:rsidRPr="00BF6A60">
        <w:rPr>
          <w:b/>
          <w:bCs/>
          <w:i/>
          <w:iCs/>
          <w:sz w:val="28"/>
          <w:szCs w:val="28"/>
          <w:lang w:bidi="ar-EG"/>
        </w:rPr>
        <w:t>(</w:t>
      </w:r>
      <w:proofErr w:type="spellStart"/>
      <w:r w:rsidRPr="00BF6A60">
        <w:rPr>
          <w:b/>
          <w:bCs/>
          <w:i/>
          <w:iCs/>
          <w:sz w:val="28"/>
          <w:szCs w:val="28"/>
          <w:lang w:bidi="ar-EG"/>
        </w:rPr>
        <w:t>Bagdy</w:t>
      </w:r>
      <w:proofErr w:type="spellEnd"/>
      <w:r w:rsidRPr="00BF6A60">
        <w:rPr>
          <w:b/>
          <w:bCs/>
          <w:i/>
          <w:iCs/>
          <w:sz w:val="28"/>
          <w:szCs w:val="28"/>
          <w:lang w:bidi="ar-EG"/>
        </w:rPr>
        <w:t xml:space="preserve"> et al., 2007). </w:t>
      </w:r>
    </w:p>
    <w:p w:rsidR="000A3F37" w:rsidRPr="00BF6A60" w:rsidRDefault="000A3F37" w:rsidP="000A3F37">
      <w:pPr>
        <w:bidi w:val="0"/>
        <w:spacing w:before="240" w:line="276" w:lineRule="auto"/>
        <w:ind w:firstLine="426"/>
        <w:jc w:val="both"/>
        <w:rPr>
          <w:b/>
          <w:bCs/>
          <w:i/>
          <w:iCs/>
          <w:sz w:val="28"/>
          <w:szCs w:val="28"/>
          <w:lang w:bidi="ar-EG"/>
        </w:rPr>
      </w:pPr>
      <w:r w:rsidRPr="00BF6A60">
        <w:rPr>
          <w:color w:val="000000"/>
          <w:sz w:val="28"/>
          <w:szCs w:val="28"/>
        </w:rPr>
        <w:t xml:space="preserve">Serotonin 5-hydroxytryptamine (5-HT) is a monoamine neurotransmitter. Biochemically derived from tryptophan, serotonin is primarily found in the gastrointestinal (GI) tract, platelets, and in the central nervous system (CNS) of animals including humans. It is popularly thought to be a contributor to feelings of well-being and happiness </w:t>
      </w:r>
      <w:r w:rsidRPr="00BF6A60">
        <w:rPr>
          <w:b/>
          <w:bCs/>
          <w:i/>
          <w:iCs/>
          <w:sz w:val="28"/>
          <w:szCs w:val="28"/>
          <w:lang w:bidi="ar-EG"/>
        </w:rPr>
        <w:t>(Young, 2007).</w:t>
      </w:r>
    </w:p>
    <w:p w:rsidR="000A3F37" w:rsidRPr="00BF6A60" w:rsidRDefault="000A3F37" w:rsidP="000A3F37">
      <w:pPr>
        <w:bidi w:val="0"/>
        <w:spacing w:before="240" w:line="276" w:lineRule="auto"/>
        <w:ind w:firstLine="426"/>
        <w:jc w:val="both"/>
        <w:rPr>
          <w:b/>
          <w:bCs/>
          <w:i/>
          <w:iCs/>
          <w:sz w:val="28"/>
          <w:szCs w:val="28"/>
          <w:lang w:bidi="ar-EG"/>
        </w:rPr>
      </w:pPr>
      <w:r w:rsidRPr="00BF6A60">
        <w:rPr>
          <w:color w:val="000000"/>
          <w:sz w:val="28"/>
          <w:szCs w:val="28"/>
        </w:rPr>
        <w:t xml:space="preserve">In the central nervous system (CNS), serotonin modulates attention, behavior, and thermoregulation. In the peripheral nervous system, serotonin is produced primarily by intestinal enterochromaffin cells and is involved in regulating gastrointestinal motility, vasoconstriction, uterine contraction, and bronchoconstriction. Serotonin is also found in platelets where it promotes platelet aggregation </w:t>
      </w:r>
      <w:r w:rsidRPr="00BF6A60">
        <w:rPr>
          <w:b/>
          <w:bCs/>
          <w:i/>
          <w:iCs/>
          <w:sz w:val="28"/>
          <w:szCs w:val="28"/>
          <w:lang w:bidi="ar-EG"/>
        </w:rPr>
        <w:t>(Mason et al., 2000).</w:t>
      </w:r>
    </w:p>
    <w:p w:rsidR="000A3F37" w:rsidRPr="00BF6A60" w:rsidRDefault="000A3F37" w:rsidP="000A3F37">
      <w:pPr>
        <w:bidi w:val="0"/>
        <w:spacing w:before="240" w:line="276" w:lineRule="auto"/>
        <w:ind w:firstLine="426"/>
        <w:jc w:val="both"/>
        <w:rPr>
          <w:b/>
          <w:bCs/>
          <w:i/>
          <w:iCs/>
          <w:sz w:val="28"/>
          <w:szCs w:val="28"/>
          <w:lang w:bidi="ar-EG"/>
        </w:rPr>
      </w:pPr>
      <w:r w:rsidRPr="00BF6A60">
        <w:rPr>
          <w:rFonts w:eastAsia="Calibri"/>
          <w:sz w:val="28"/>
          <w:szCs w:val="28"/>
        </w:rPr>
        <w:t xml:space="preserve">The functions of 5-HT on the CNS are numerous and appear to involve control of appetite, sleep, memory and learning, temperature regulation, mood, behaviour, cardiovascular function, muscle contraction, endocrine regulation, maturation of neuronal and glial cells and synaptic connections and epilepsy </w:t>
      </w:r>
      <w:r w:rsidRPr="00BF6A60">
        <w:rPr>
          <w:b/>
          <w:bCs/>
          <w:i/>
          <w:iCs/>
          <w:sz w:val="28"/>
          <w:szCs w:val="28"/>
          <w:lang w:bidi="ar-EG"/>
        </w:rPr>
        <w:t>(</w:t>
      </w:r>
      <w:proofErr w:type="spellStart"/>
      <w:r w:rsidRPr="00BF6A60">
        <w:rPr>
          <w:b/>
          <w:bCs/>
          <w:i/>
          <w:iCs/>
          <w:sz w:val="28"/>
          <w:szCs w:val="28"/>
          <w:lang w:bidi="ar-EG"/>
        </w:rPr>
        <w:t>Azmitia</w:t>
      </w:r>
      <w:proofErr w:type="spellEnd"/>
      <w:r w:rsidRPr="00BF6A60">
        <w:rPr>
          <w:b/>
          <w:bCs/>
          <w:i/>
          <w:iCs/>
          <w:sz w:val="28"/>
          <w:szCs w:val="28"/>
          <w:lang w:bidi="ar-EG"/>
        </w:rPr>
        <w:t xml:space="preserve"> and Whitaker-</w:t>
      </w:r>
      <w:proofErr w:type="spellStart"/>
      <w:r w:rsidRPr="00BF6A60">
        <w:rPr>
          <w:b/>
          <w:bCs/>
          <w:i/>
          <w:iCs/>
          <w:sz w:val="28"/>
          <w:szCs w:val="28"/>
          <w:lang w:bidi="ar-EG"/>
        </w:rPr>
        <w:t>Azmitia</w:t>
      </w:r>
      <w:proofErr w:type="spellEnd"/>
      <w:r w:rsidRPr="00BF6A60">
        <w:rPr>
          <w:b/>
          <w:bCs/>
          <w:i/>
          <w:iCs/>
          <w:sz w:val="28"/>
          <w:szCs w:val="28"/>
          <w:lang w:bidi="ar-EG"/>
        </w:rPr>
        <w:t xml:space="preserve"> 1999). </w:t>
      </w:r>
    </w:p>
    <w:p w:rsidR="000A3F37" w:rsidRPr="00BF6A60" w:rsidRDefault="000A3F37" w:rsidP="00CB2AC8">
      <w:pPr>
        <w:bidi w:val="0"/>
        <w:spacing w:before="240" w:line="276" w:lineRule="auto"/>
        <w:ind w:firstLine="426"/>
        <w:jc w:val="both"/>
        <w:rPr>
          <w:b/>
          <w:bCs/>
          <w:i/>
          <w:iCs/>
          <w:sz w:val="28"/>
          <w:szCs w:val="28"/>
          <w:lang w:bidi="ar-EG"/>
        </w:rPr>
      </w:pPr>
      <w:r w:rsidRPr="00BF6A60">
        <w:rPr>
          <w:rFonts w:eastAsia="Calibri"/>
          <w:color w:val="000000"/>
          <w:sz w:val="28"/>
          <w:szCs w:val="28"/>
        </w:rPr>
        <w:t>There is a decrease in 5-HT</w:t>
      </w:r>
      <w:r w:rsidRPr="00BF6A60">
        <w:rPr>
          <w:rFonts w:eastAsia="Calibri"/>
          <w:color w:val="000000"/>
          <w:position w:val="-4"/>
          <w:sz w:val="28"/>
          <w:szCs w:val="28"/>
        </w:rPr>
        <w:t>1A</w:t>
      </w:r>
      <w:r w:rsidRPr="00BF6A60">
        <w:rPr>
          <w:rFonts w:eastAsia="Calibri"/>
          <w:color w:val="000000"/>
          <w:spacing w:val="20"/>
          <w:position w:val="-4"/>
          <w:sz w:val="28"/>
          <w:szCs w:val="28"/>
        </w:rPr>
        <w:t xml:space="preserve"> </w:t>
      </w:r>
      <w:r w:rsidRPr="00BF6A60">
        <w:rPr>
          <w:rFonts w:eastAsia="Calibri"/>
          <w:color w:val="000000"/>
          <w:sz w:val="28"/>
          <w:szCs w:val="28"/>
        </w:rPr>
        <w:t xml:space="preserve">receptor binding on PET scanning in patients who have epilepsy and depression </w:t>
      </w:r>
      <w:r w:rsidRPr="00BF6A60">
        <w:rPr>
          <w:b/>
          <w:bCs/>
          <w:i/>
          <w:iCs/>
          <w:sz w:val="28"/>
          <w:szCs w:val="28"/>
          <w:lang w:bidi="ar-EG"/>
        </w:rPr>
        <w:t>(</w:t>
      </w:r>
      <w:proofErr w:type="spellStart"/>
      <w:r w:rsidRPr="00BF6A60">
        <w:rPr>
          <w:b/>
          <w:bCs/>
          <w:i/>
          <w:iCs/>
          <w:sz w:val="28"/>
          <w:szCs w:val="28"/>
          <w:lang w:bidi="ar-EG"/>
        </w:rPr>
        <w:t>Sargent</w:t>
      </w:r>
      <w:proofErr w:type="spellEnd"/>
      <w:r w:rsidRPr="00BF6A60">
        <w:rPr>
          <w:b/>
          <w:bCs/>
          <w:i/>
          <w:iCs/>
          <w:sz w:val="28"/>
          <w:szCs w:val="28"/>
          <w:lang w:bidi="ar-EG"/>
        </w:rPr>
        <w:t xml:space="preserve"> et al., 2000), </w:t>
      </w:r>
      <w:r w:rsidRPr="00BF6A60">
        <w:rPr>
          <w:rFonts w:eastAsia="Calibri"/>
          <w:color w:val="000000"/>
          <w:sz w:val="28"/>
          <w:szCs w:val="28"/>
        </w:rPr>
        <w:t xml:space="preserve">and this decrease is greater in those patients with both conditions compared to temporal lobe epilepsy alone </w:t>
      </w:r>
      <w:r w:rsidRPr="00BF6A60">
        <w:rPr>
          <w:b/>
          <w:bCs/>
          <w:i/>
          <w:iCs/>
          <w:sz w:val="28"/>
          <w:szCs w:val="28"/>
          <w:lang w:bidi="ar-EG"/>
        </w:rPr>
        <w:t>(</w:t>
      </w:r>
      <w:proofErr w:type="spellStart"/>
      <w:r w:rsidRPr="00BF6A60">
        <w:rPr>
          <w:b/>
          <w:bCs/>
          <w:i/>
          <w:iCs/>
          <w:sz w:val="28"/>
          <w:szCs w:val="28"/>
          <w:lang w:bidi="ar-EG"/>
        </w:rPr>
        <w:t>Hasler</w:t>
      </w:r>
      <w:proofErr w:type="spellEnd"/>
      <w:r w:rsidRPr="00BF6A60">
        <w:rPr>
          <w:b/>
          <w:bCs/>
          <w:i/>
          <w:iCs/>
          <w:sz w:val="28"/>
          <w:szCs w:val="28"/>
          <w:lang w:bidi="ar-EG"/>
        </w:rPr>
        <w:t xml:space="preserve"> et al., 2007). </w:t>
      </w:r>
      <w:r w:rsidRPr="00BF6A60">
        <w:rPr>
          <w:rFonts w:eastAsia="Calibri"/>
          <w:color w:val="000000"/>
          <w:sz w:val="28"/>
          <w:szCs w:val="28"/>
        </w:rPr>
        <w:t xml:space="preserve">In patients with comorbid epilepsy and depression there is decreased binding in the epileptic focus, as well as extension into extra-lesional limbic structures </w:t>
      </w:r>
      <w:r w:rsidRPr="00BF6A60">
        <w:rPr>
          <w:b/>
          <w:bCs/>
          <w:i/>
          <w:iCs/>
          <w:sz w:val="28"/>
          <w:szCs w:val="28"/>
          <w:lang w:bidi="ar-EG"/>
        </w:rPr>
        <w:t xml:space="preserve">(Theodore et al., 2006). </w:t>
      </w:r>
      <w:r w:rsidRPr="00BF6A60">
        <w:rPr>
          <w:rFonts w:eastAsia="Calibri"/>
          <w:color w:val="000000"/>
          <w:sz w:val="28"/>
          <w:szCs w:val="28"/>
        </w:rPr>
        <w:t xml:space="preserve">In both conditions it has been suggested that there is deficient serotonergic (and noradrenergic) neurotransmission </w:t>
      </w:r>
      <w:r w:rsidRPr="00BF6A60">
        <w:rPr>
          <w:b/>
          <w:bCs/>
          <w:i/>
          <w:iCs/>
          <w:sz w:val="28"/>
          <w:szCs w:val="28"/>
          <w:lang w:bidi="ar-EG"/>
        </w:rPr>
        <w:t>(</w:t>
      </w:r>
      <w:proofErr w:type="spellStart"/>
      <w:r w:rsidRPr="00BF6A60">
        <w:rPr>
          <w:b/>
          <w:bCs/>
          <w:i/>
          <w:iCs/>
          <w:sz w:val="28"/>
          <w:szCs w:val="28"/>
          <w:lang w:bidi="ar-EG"/>
        </w:rPr>
        <w:t>Kanner</w:t>
      </w:r>
      <w:proofErr w:type="spellEnd"/>
      <w:r w:rsidRPr="00BF6A60">
        <w:rPr>
          <w:b/>
          <w:bCs/>
          <w:i/>
          <w:iCs/>
          <w:sz w:val="28"/>
          <w:szCs w:val="28"/>
          <w:lang w:bidi="ar-EG"/>
        </w:rPr>
        <w:t>, 2009).</w:t>
      </w:r>
    </w:p>
    <w:p w:rsidR="00CB2AC8" w:rsidRDefault="00CB2AC8" w:rsidP="000A3F37">
      <w:pPr>
        <w:bidi w:val="0"/>
        <w:spacing w:before="240" w:after="480" w:line="276" w:lineRule="auto"/>
        <w:rPr>
          <w:b/>
          <w:bCs/>
          <w:sz w:val="32"/>
          <w:szCs w:val="32"/>
        </w:rPr>
      </w:pPr>
    </w:p>
    <w:p w:rsidR="00CB2AC8" w:rsidRDefault="00CB2AC8" w:rsidP="00CB2AC8">
      <w:pPr>
        <w:bidi w:val="0"/>
        <w:spacing w:before="240" w:after="480" w:line="276" w:lineRule="auto"/>
        <w:rPr>
          <w:b/>
          <w:bCs/>
          <w:sz w:val="32"/>
          <w:szCs w:val="32"/>
        </w:rPr>
      </w:pPr>
    </w:p>
    <w:p w:rsidR="00A06E81" w:rsidRDefault="00A06E81" w:rsidP="00CB2AC8">
      <w:pPr>
        <w:bidi w:val="0"/>
        <w:spacing w:before="240" w:after="480" w:line="276" w:lineRule="auto"/>
        <w:rPr>
          <w:b/>
          <w:bCs/>
          <w:sz w:val="32"/>
          <w:szCs w:val="32"/>
        </w:rPr>
      </w:pPr>
      <w:r w:rsidRPr="00B2768A">
        <w:rPr>
          <w:b/>
          <w:bCs/>
          <w:sz w:val="32"/>
          <w:szCs w:val="32"/>
        </w:rPr>
        <w:lastRenderedPageBreak/>
        <w:t>Methodology:</w:t>
      </w:r>
    </w:p>
    <w:p w:rsidR="00CB2AC8" w:rsidRPr="00CB2AC8" w:rsidRDefault="00CB2AC8" w:rsidP="00C379C8">
      <w:pPr>
        <w:bidi w:val="0"/>
        <w:spacing w:before="240" w:after="480" w:line="276" w:lineRule="auto"/>
        <w:jc w:val="lowKashida"/>
        <w:rPr>
          <w:rFonts w:eastAsia="Calibri"/>
          <w:b/>
          <w:iCs/>
          <w:color w:val="000000"/>
          <w:sz w:val="28"/>
          <w:szCs w:val="28"/>
          <w:u w:val="single"/>
        </w:rPr>
      </w:pPr>
      <w:r w:rsidRPr="00CB2AC8">
        <w:rPr>
          <w:rFonts w:eastAsia="Calibri"/>
          <w:b/>
          <w:iCs/>
          <w:color w:val="000000"/>
          <w:sz w:val="28"/>
          <w:szCs w:val="28"/>
          <w:u w:val="single"/>
        </w:rPr>
        <w:t>Design:</w:t>
      </w:r>
    </w:p>
    <w:p w:rsidR="000A3F37" w:rsidRPr="006D1B7A" w:rsidRDefault="000A3F37" w:rsidP="00CB2AC8">
      <w:pPr>
        <w:bidi w:val="0"/>
        <w:spacing w:before="240" w:after="480" w:line="276" w:lineRule="auto"/>
        <w:jc w:val="lowKashida"/>
        <w:rPr>
          <w:rFonts w:eastAsia="Calibri"/>
          <w:b/>
          <w:bCs/>
          <w:iCs/>
          <w:color w:val="000000"/>
          <w:sz w:val="28"/>
          <w:szCs w:val="28"/>
          <w:u w:val="single"/>
        </w:rPr>
      </w:pPr>
      <w:r w:rsidRPr="00BF6A60">
        <w:rPr>
          <w:rFonts w:eastAsia="Calibri"/>
          <w:bCs/>
          <w:iCs/>
          <w:color w:val="000000"/>
          <w:sz w:val="28"/>
          <w:szCs w:val="28"/>
        </w:rPr>
        <w:t xml:space="preserve">This is an interventional </w:t>
      </w:r>
      <w:r w:rsidRPr="00BF6A60">
        <w:rPr>
          <w:rFonts w:eastAsia="Calibri"/>
          <w:color w:val="000000"/>
          <w:sz w:val="28"/>
          <w:szCs w:val="28"/>
        </w:rPr>
        <w:t xml:space="preserve">clinical </w:t>
      </w:r>
      <w:r w:rsidR="008B4125" w:rsidRPr="00BF6A60">
        <w:rPr>
          <w:rFonts w:eastAsia="Calibri"/>
          <w:bCs/>
          <w:iCs/>
          <w:color w:val="000000"/>
          <w:sz w:val="28"/>
          <w:szCs w:val="28"/>
        </w:rPr>
        <w:t>study</w:t>
      </w:r>
      <w:r w:rsidR="00C379C8">
        <w:rPr>
          <w:rFonts w:eastAsia="Calibri"/>
          <w:bCs/>
          <w:iCs/>
          <w:color w:val="000000"/>
          <w:sz w:val="28"/>
          <w:szCs w:val="28"/>
        </w:rPr>
        <w:t>,</w:t>
      </w:r>
      <w:r w:rsidRPr="006D1B7A">
        <w:rPr>
          <w:rFonts w:eastAsia="Calibri"/>
          <w:sz w:val="28"/>
          <w:szCs w:val="28"/>
          <w:lang w:bidi="ar-EG"/>
        </w:rPr>
        <w:t xml:space="preserve"> </w:t>
      </w:r>
      <w:r>
        <w:rPr>
          <w:rFonts w:eastAsia="Calibri"/>
          <w:sz w:val="28"/>
          <w:szCs w:val="28"/>
          <w:lang w:bidi="ar-EG"/>
        </w:rPr>
        <w:t xml:space="preserve"> </w:t>
      </w:r>
      <w:r w:rsidRPr="006D1B7A">
        <w:rPr>
          <w:rFonts w:eastAsia="Calibri"/>
          <w:sz w:val="28"/>
          <w:szCs w:val="28"/>
          <w:lang w:bidi="ar-EG"/>
        </w:rPr>
        <w:t>conducted</w:t>
      </w:r>
      <w:r w:rsidRPr="006D1B7A">
        <w:rPr>
          <w:rFonts w:eastAsia="Calibri"/>
          <w:sz w:val="28"/>
          <w:szCs w:val="28"/>
        </w:rPr>
        <w:t xml:space="preserve"> on thirty </w:t>
      </w:r>
      <w:r>
        <w:rPr>
          <w:rFonts w:eastAsia="Calibri"/>
          <w:sz w:val="28"/>
          <w:szCs w:val="28"/>
        </w:rPr>
        <w:t>children</w:t>
      </w:r>
      <w:r w:rsidRPr="006D1B7A">
        <w:rPr>
          <w:rFonts w:eastAsia="Calibri"/>
          <w:sz w:val="28"/>
          <w:szCs w:val="28"/>
        </w:rPr>
        <w:t xml:space="preserve"> with idiopathic epilepsy who were followed up in the pediatric Neurology Outpatient Clinic, Pediatrics Hospital; Ain Shams University</w:t>
      </w:r>
      <w:r w:rsidR="00C379C8">
        <w:rPr>
          <w:rFonts w:eastAsia="Calibri"/>
          <w:sz w:val="28"/>
          <w:szCs w:val="28"/>
        </w:rPr>
        <w:t>, f</w:t>
      </w:r>
      <w:r>
        <w:rPr>
          <w:rFonts w:eastAsia="Calibri"/>
          <w:sz w:val="28"/>
          <w:szCs w:val="28"/>
        </w:rPr>
        <w:t>rom November</w:t>
      </w:r>
      <w:r w:rsidR="00C379C8">
        <w:rPr>
          <w:rFonts w:eastAsia="Calibri"/>
          <w:sz w:val="28"/>
          <w:szCs w:val="28"/>
        </w:rPr>
        <w:t>, 2012</w:t>
      </w:r>
      <w:r>
        <w:rPr>
          <w:rFonts w:eastAsia="Calibri"/>
          <w:sz w:val="28"/>
          <w:szCs w:val="28"/>
        </w:rPr>
        <w:t xml:space="preserve"> to April</w:t>
      </w:r>
      <w:r w:rsidR="00C379C8">
        <w:rPr>
          <w:rFonts w:eastAsia="Calibri"/>
          <w:sz w:val="28"/>
          <w:szCs w:val="28"/>
        </w:rPr>
        <w:t>, 2013</w:t>
      </w:r>
      <w:r>
        <w:rPr>
          <w:rFonts w:eastAsia="Calibri"/>
          <w:sz w:val="28"/>
          <w:szCs w:val="28"/>
        </w:rPr>
        <w:t>.</w:t>
      </w:r>
    </w:p>
    <w:p w:rsidR="000A3F37" w:rsidRDefault="000A3F37" w:rsidP="000A3F37">
      <w:pPr>
        <w:tabs>
          <w:tab w:val="left" w:pos="284"/>
        </w:tabs>
        <w:bidi w:val="0"/>
        <w:spacing w:before="240" w:line="276" w:lineRule="auto"/>
        <w:jc w:val="both"/>
        <w:rPr>
          <w:rFonts w:eastAsia="Calibri"/>
          <w:b/>
          <w:bCs/>
          <w:i/>
          <w:iCs/>
          <w:sz w:val="28"/>
          <w:szCs w:val="28"/>
          <w:u w:val="single"/>
          <w:lang w:bidi="ar-EG"/>
        </w:rPr>
      </w:pPr>
      <w:r w:rsidRPr="00BF6A60">
        <w:rPr>
          <w:rFonts w:eastAsia="Calibri"/>
          <w:b/>
          <w:bCs/>
          <w:i/>
          <w:iCs/>
          <w:sz w:val="28"/>
          <w:szCs w:val="28"/>
          <w:u w:val="single"/>
          <w:lang w:bidi="ar-EG"/>
        </w:rPr>
        <w:t>Subjects will be divided into 2 groups:</w:t>
      </w:r>
    </w:p>
    <w:p w:rsidR="000A3F37" w:rsidRDefault="000A3F37" w:rsidP="00CB2AC8">
      <w:pPr>
        <w:tabs>
          <w:tab w:val="left" w:pos="284"/>
        </w:tabs>
        <w:bidi w:val="0"/>
        <w:spacing w:before="240" w:line="276" w:lineRule="auto"/>
        <w:jc w:val="both"/>
        <w:rPr>
          <w:rFonts w:eastAsia="Calibri"/>
          <w:sz w:val="28"/>
          <w:szCs w:val="28"/>
          <w:lang w:bidi="ar-EG"/>
        </w:rPr>
      </w:pPr>
      <w:r>
        <w:rPr>
          <w:rFonts w:eastAsia="Calibri"/>
          <w:b/>
          <w:bCs/>
          <w:i/>
          <w:iCs/>
          <w:sz w:val="28"/>
          <w:szCs w:val="28"/>
          <w:u w:val="single"/>
          <w:lang w:bidi="ar-EG"/>
        </w:rPr>
        <w:t xml:space="preserve"> </w:t>
      </w:r>
      <w:r w:rsidRPr="00C90C81">
        <w:rPr>
          <w:rFonts w:eastAsia="Calibri"/>
          <w:b/>
          <w:bCs/>
          <w:sz w:val="28"/>
          <w:szCs w:val="28"/>
          <w:u w:val="single"/>
          <w:lang w:bidi="ar-EG"/>
        </w:rPr>
        <w:t>Group (1)</w:t>
      </w:r>
      <w:r>
        <w:rPr>
          <w:rFonts w:eastAsia="Calibri"/>
          <w:b/>
          <w:bCs/>
          <w:sz w:val="28"/>
          <w:szCs w:val="28"/>
          <w:u w:val="single"/>
          <w:lang w:bidi="ar-EG"/>
        </w:rPr>
        <w:t>:</w:t>
      </w:r>
      <w:r w:rsidRPr="00BF6A60">
        <w:rPr>
          <w:rFonts w:eastAsia="Calibri"/>
          <w:sz w:val="28"/>
          <w:szCs w:val="28"/>
          <w:lang w:bidi="ar-EG"/>
        </w:rPr>
        <w:t xml:space="preserve"> includes </w:t>
      </w:r>
      <w:r w:rsidRPr="00BF6A60">
        <w:rPr>
          <w:rFonts w:eastAsia="Calibri"/>
          <w:color w:val="000000"/>
          <w:sz w:val="28"/>
          <w:szCs w:val="28"/>
          <w:lang w:bidi="ar-EG"/>
        </w:rPr>
        <w:t>30</w:t>
      </w:r>
      <w:r w:rsidRPr="00BF6A60">
        <w:rPr>
          <w:rFonts w:eastAsia="Calibri"/>
          <w:sz w:val="28"/>
          <w:szCs w:val="28"/>
          <w:lang w:bidi="ar-EG"/>
        </w:rPr>
        <w:t xml:space="preserve"> newly diagnosed cases with idiopathic epilepsy on their first presentation before administration of any AED and further follow-up after 3 and </w:t>
      </w:r>
      <w:r w:rsidR="00CB2AC8">
        <w:rPr>
          <w:rFonts w:eastAsia="Calibri"/>
          <w:sz w:val="28"/>
          <w:szCs w:val="28"/>
          <w:lang w:bidi="ar-EG"/>
        </w:rPr>
        <w:t>5</w:t>
      </w:r>
      <w:r w:rsidRPr="00BF6A60">
        <w:rPr>
          <w:rFonts w:eastAsia="Calibri"/>
          <w:sz w:val="28"/>
          <w:szCs w:val="28"/>
          <w:lang w:bidi="ar-EG"/>
        </w:rPr>
        <w:t xml:space="preserve"> months of AED therapy</w:t>
      </w:r>
      <w:r w:rsidRPr="00BF6A60">
        <w:rPr>
          <w:rFonts w:eastAsia="Calibri"/>
          <w:i/>
          <w:iCs/>
          <w:sz w:val="28"/>
          <w:szCs w:val="28"/>
          <w:lang w:bidi="ar-EG"/>
        </w:rPr>
        <w:t xml:space="preserve"> </w:t>
      </w:r>
      <w:r w:rsidRPr="00BF6A60">
        <w:rPr>
          <w:rFonts w:eastAsia="Calibri"/>
          <w:sz w:val="28"/>
          <w:szCs w:val="28"/>
          <w:lang w:bidi="ar-EG"/>
        </w:rPr>
        <w:t>(According to International League against Epilepsy guidelines of epilepsy treatment; 2006).They were18 males and 12 females. Their age range</w:t>
      </w:r>
      <w:r>
        <w:rPr>
          <w:rFonts w:eastAsia="Calibri"/>
          <w:sz w:val="28"/>
          <w:szCs w:val="28"/>
          <w:lang w:bidi="ar-EG"/>
        </w:rPr>
        <w:t>d from</w:t>
      </w:r>
      <w:r w:rsidRPr="00BF6A60">
        <w:rPr>
          <w:rFonts w:eastAsia="Calibri"/>
          <w:sz w:val="28"/>
          <w:szCs w:val="28"/>
          <w:lang w:bidi="ar-EG"/>
        </w:rPr>
        <w:t xml:space="preserve"> 3.5</w:t>
      </w:r>
      <w:r>
        <w:rPr>
          <w:rFonts w:eastAsia="Calibri"/>
          <w:sz w:val="28"/>
          <w:szCs w:val="28"/>
          <w:lang w:bidi="ar-EG"/>
        </w:rPr>
        <w:t xml:space="preserve"> to </w:t>
      </w:r>
      <w:r w:rsidRPr="00BF6A60">
        <w:rPr>
          <w:rFonts w:eastAsia="Calibri"/>
          <w:sz w:val="28"/>
          <w:szCs w:val="28"/>
          <w:lang w:bidi="ar-EG"/>
        </w:rPr>
        <w:t>15</w:t>
      </w:r>
      <w:r>
        <w:rPr>
          <w:rFonts w:eastAsia="Calibri"/>
          <w:sz w:val="28"/>
          <w:szCs w:val="28"/>
          <w:lang w:bidi="ar-EG"/>
        </w:rPr>
        <w:t xml:space="preserve"> </w:t>
      </w:r>
      <w:r w:rsidRPr="00BF6A60">
        <w:rPr>
          <w:rFonts w:eastAsia="Calibri"/>
          <w:sz w:val="28"/>
          <w:szCs w:val="28"/>
          <w:lang w:bidi="ar-EG"/>
        </w:rPr>
        <w:t>years</w:t>
      </w:r>
      <w:r>
        <w:rPr>
          <w:rFonts w:eastAsia="Calibri"/>
          <w:sz w:val="28"/>
          <w:szCs w:val="28"/>
          <w:lang w:bidi="ar-EG"/>
        </w:rPr>
        <w:t>.</w:t>
      </w:r>
    </w:p>
    <w:p w:rsidR="000A3F37" w:rsidRPr="00BF6A60" w:rsidRDefault="000A3F37" w:rsidP="000A3F37">
      <w:pPr>
        <w:tabs>
          <w:tab w:val="left" w:pos="284"/>
        </w:tabs>
        <w:bidi w:val="0"/>
        <w:spacing w:before="240" w:line="276" w:lineRule="auto"/>
        <w:jc w:val="both"/>
        <w:rPr>
          <w:rFonts w:eastAsia="Calibri"/>
          <w:sz w:val="28"/>
          <w:szCs w:val="28"/>
          <w:lang w:bidi="ar-EG"/>
        </w:rPr>
      </w:pPr>
      <w:r>
        <w:rPr>
          <w:rFonts w:eastAsia="Calibri"/>
          <w:sz w:val="28"/>
          <w:szCs w:val="28"/>
          <w:lang w:bidi="ar-EG"/>
        </w:rPr>
        <w:t xml:space="preserve"> </w:t>
      </w:r>
      <w:r w:rsidRPr="00C90C81">
        <w:rPr>
          <w:rFonts w:eastAsia="Calibri"/>
          <w:b/>
          <w:bCs/>
          <w:sz w:val="28"/>
          <w:szCs w:val="28"/>
          <w:u w:val="single"/>
          <w:lang w:bidi="ar-EG"/>
        </w:rPr>
        <w:t>Group (2):</w:t>
      </w:r>
      <w:r w:rsidRPr="00BF6A60">
        <w:rPr>
          <w:rFonts w:eastAsia="Calibri"/>
          <w:sz w:val="28"/>
          <w:szCs w:val="28"/>
          <w:lang w:bidi="ar-EG"/>
        </w:rPr>
        <w:t xml:space="preserve"> includes </w:t>
      </w:r>
      <w:r w:rsidRPr="00BF6A60">
        <w:rPr>
          <w:rFonts w:eastAsia="Calibri"/>
          <w:color w:val="000000"/>
          <w:sz w:val="28"/>
          <w:szCs w:val="28"/>
          <w:lang w:bidi="ar-EG"/>
        </w:rPr>
        <w:t xml:space="preserve">30 </w:t>
      </w:r>
      <w:r w:rsidRPr="00BF6A60">
        <w:rPr>
          <w:rFonts w:eastAsia="Calibri"/>
          <w:sz w:val="28"/>
          <w:szCs w:val="28"/>
          <w:lang w:bidi="ar-EG"/>
        </w:rPr>
        <w:t>children recruited from sibs of patients who were apparently healthy for age and sex matched to epileptic children served as controls. They were 9 males and 21 females. Their age range</w:t>
      </w:r>
      <w:r>
        <w:rPr>
          <w:rFonts w:eastAsia="Calibri"/>
          <w:sz w:val="28"/>
          <w:szCs w:val="28"/>
          <w:lang w:bidi="ar-EG"/>
        </w:rPr>
        <w:t>d from</w:t>
      </w:r>
      <w:r w:rsidRPr="00BF6A60">
        <w:rPr>
          <w:rFonts w:eastAsia="Calibri"/>
          <w:sz w:val="28"/>
          <w:szCs w:val="28"/>
          <w:lang w:bidi="ar-EG"/>
        </w:rPr>
        <w:t xml:space="preserve"> 4</w:t>
      </w:r>
      <w:r>
        <w:rPr>
          <w:rFonts w:eastAsia="Calibri"/>
          <w:sz w:val="28"/>
          <w:szCs w:val="28"/>
          <w:lang w:bidi="ar-EG"/>
        </w:rPr>
        <w:t xml:space="preserve"> to </w:t>
      </w:r>
      <w:r w:rsidRPr="00BF6A60">
        <w:rPr>
          <w:rFonts w:eastAsia="Calibri"/>
          <w:sz w:val="28"/>
          <w:szCs w:val="28"/>
          <w:lang w:bidi="ar-EG"/>
        </w:rPr>
        <w:t>11</w:t>
      </w:r>
      <w:r>
        <w:rPr>
          <w:rFonts w:eastAsia="Calibri"/>
          <w:sz w:val="28"/>
          <w:szCs w:val="28"/>
          <w:lang w:bidi="ar-EG"/>
        </w:rPr>
        <w:t xml:space="preserve"> </w:t>
      </w:r>
      <w:r w:rsidRPr="00BF6A60">
        <w:rPr>
          <w:rFonts w:eastAsia="Calibri"/>
          <w:sz w:val="28"/>
          <w:szCs w:val="28"/>
          <w:lang w:bidi="ar-EG"/>
        </w:rPr>
        <w:t>years</w:t>
      </w:r>
      <w:r>
        <w:rPr>
          <w:rFonts w:eastAsia="Calibri"/>
          <w:sz w:val="28"/>
          <w:szCs w:val="28"/>
          <w:lang w:bidi="ar-EG"/>
        </w:rPr>
        <w:t>.</w:t>
      </w:r>
    </w:p>
    <w:p w:rsidR="000A3F37" w:rsidRDefault="000A3F37" w:rsidP="00CB2AC8">
      <w:pPr>
        <w:tabs>
          <w:tab w:val="left" w:pos="284"/>
        </w:tabs>
        <w:bidi w:val="0"/>
        <w:spacing w:before="240" w:line="276" w:lineRule="auto"/>
        <w:jc w:val="both"/>
        <w:rPr>
          <w:rFonts w:eastAsia="Calibri"/>
          <w:sz w:val="28"/>
          <w:szCs w:val="28"/>
          <w:lang w:bidi="ar-EG"/>
        </w:rPr>
      </w:pPr>
      <w:r>
        <w:rPr>
          <w:rFonts w:eastAsia="Calibri"/>
          <w:b/>
          <w:bCs/>
          <w:sz w:val="28"/>
          <w:szCs w:val="28"/>
          <w:u w:val="single"/>
          <w:lang w:bidi="ar-EG"/>
        </w:rPr>
        <w:t>I</w:t>
      </w:r>
      <w:r w:rsidRPr="00F158F2">
        <w:rPr>
          <w:rFonts w:eastAsia="Calibri"/>
          <w:b/>
          <w:bCs/>
          <w:sz w:val="28"/>
          <w:szCs w:val="28"/>
          <w:u w:val="single"/>
          <w:lang w:bidi="ar-EG"/>
        </w:rPr>
        <w:t>nclu</w:t>
      </w:r>
      <w:r>
        <w:rPr>
          <w:rFonts w:eastAsia="Calibri"/>
          <w:b/>
          <w:bCs/>
          <w:sz w:val="28"/>
          <w:szCs w:val="28"/>
          <w:u w:val="single"/>
          <w:lang w:bidi="ar-EG"/>
        </w:rPr>
        <w:t>sion Criteria:</w:t>
      </w:r>
      <w:r w:rsidRPr="00F158F2">
        <w:rPr>
          <w:rFonts w:eastAsia="Calibri"/>
          <w:b/>
          <w:bCs/>
          <w:sz w:val="28"/>
          <w:szCs w:val="28"/>
          <w:u w:val="single"/>
          <w:lang w:bidi="ar-EG"/>
        </w:rPr>
        <w:t xml:space="preserve"> </w:t>
      </w:r>
      <w:r w:rsidRPr="00166DFC">
        <w:rPr>
          <w:rFonts w:eastAsia="Calibri"/>
          <w:sz w:val="28"/>
          <w:szCs w:val="28"/>
          <w:lang w:bidi="ar-EG"/>
        </w:rPr>
        <w:t>children and adolescents aged</w:t>
      </w:r>
      <w:r w:rsidR="00CB2AC8">
        <w:rPr>
          <w:rFonts w:eastAsia="Calibri"/>
          <w:sz w:val="28"/>
          <w:szCs w:val="28"/>
          <w:lang w:bidi="ar-EG"/>
        </w:rPr>
        <w:t xml:space="preserve"> from</w:t>
      </w:r>
      <w:r w:rsidRPr="00F158F2">
        <w:rPr>
          <w:rFonts w:eastAsia="Calibri"/>
          <w:sz w:val="28"/>
          <w:szCs w:val="28"/>
          <w:lang w:bidi="ar-EG"/>
        </w:rPr>
        <w:t xml:space="preserve"> 5</w:t>
      </w:r>
      <w:r w:rsidR="00CB2AC8">
        <w:rPr>
          <w:rFonts w:eastAsia="Calibri"/>
          <w:sz w:val="28"/>
          <w:szCs w:val="28"/>
          <w:lang w:bidi="ar-EG"/>
        </w:rPr>
        <w:t xml:space="preserve"> to </w:t>
      </w:r>
      <w:r w:rsidRPr="00F158F2">
        <w:rPr>
          <w:rFonts w:eastAsia="Calibri"/>
          <w:sz w:val="28"/>
          <w:szCs w:val="28"/>
          <w:lang w:bidi="ar-EG"/>
        </w:rPr>
        <w:t>15 years old, newly diagnosed cases, Regular attendee of the clinic and tho</w:t>
      </w:r>
      <w:r>
        <w:rPr>
          <w:rFonts w:eastAsia="Calibri"/>
          <w:sz w:val="28"/>
          <w:szCs w:val="28"/>
          <w:lang w:bidi="ar-EG"/>
        </w:rPr>
        <w:t xml:space="preserve">se who offered their </w:t>
      </w:r>
      <w:r w:rsidR="00CB2AC8">
        <w:rPr>
          <w:rFonts w:eastAsia="Calibri"/>
          <w:sz w:val="28"/>
          <w:szCs w:val="28"/>
          <w:lang w:bidi="ar-EG"/>
        </w:rPr>
        <w:t>acceptance of</w:t>
      </w:r>
      <w:r w:rsidRPr="00F158F2">
        <w:rPr>
          <w:rFonts w:eastAsia="Calibri"/>
          <w:sz w:val="28"/>
          <w:szCs w:val="28"/>
          <w:lang w:bidi="ar-EG"/>
        </w:rPr>
        <w:t xml:space="preserve"> enrollment</w:t>
      </w:r>
      <w:r>
        <w:rPr>
          <w:rFonts w:eastAsia="Calibri"/>
          <w:sz w:val="28"/>
          <w:szCs w:val="28"/>
          <w:lang w:bidi="ar-EG"/>
        </w:rPr>
        <w:t>.</w:t>
      </w:r>
      <w:r w:rsidR="00CB2AC8">
        <w:rPr>
          <w:rFonts w:eastAsia="Calibri"/>
          <w:sz w:val="28"/>
          <w:szCs w:val="28"/>
          <w:lang w:bidi="ar-EG"/>
        </w:rPr>
        <w:t xml:space="preserve">  Healthy controls will also be recruited.</w:t>
      </w:r>
    </w:p>
    <w:p w:rsidR="000A3F37" w:rsidRPr="00F158F2" w:rsidRDefault="000A3F37" w:rsidP="000A3F37">
      <w:pPr>
        <w:tabs>
          <w:tab w:val="left" w:pos="284"/>
        </w:tabs>
        <w:bidi w:val="0"/>
        <w:spacing w:before="240" w:line="276" w:lineRule="auto"/>
        <w:jc w:val="both"/>
        <w:rPr>
          <w:rFonts w:eastAsia="Calibri"/>
          <w:sz w:val="28"/>
          <w:szCs w:val="28"/>
          <w:lang w:bidi="ar-EG"/>
        </w:rPr>
      </w:pPr>
      <w:r>
        <w:rPr>
          <w:rFonts w:eastAsia="Calibri"/>
          <w:b/>
          <w:bCs/>
          <w:sz w:val="28"/>
          <w:szCs w:val="28"/>
          <w:u w:val="single"/>
          <w:lang w:bidi="ar-EG"/>
        </w:rPr>
        <w:t>Exclusion Criteria:</w:t>
      </w:r>
      <w:r w:rsidRPr="0049021F">
        <w:rPr>
          <w:rFonts w:eastAsia="Calibri"/>
          <w:b/>
          <w:bCs/>
          <w:sz w:val="28"/>
          <w:szCs w:val="28"/>
          <w:lang w:bidi="ar-EG"/>
        </w:rPr>
        <w:t xml:space="preserve"> </w:t>
      </w:r>
      <w:r w:rsidRPr="00F158F2">
        <w:rPr>
          <w:rFonts w:eastAsia="Calibri"/>
          <w:sz w:val="28"/>
          <w:szCs w:val="28"/>
          <w:lang w:bidi="ar-EG"/>
        </w:rPr>
        <w:t>p</w:t>
      </w:r>
      <w:r w:rsidRPr="00F158F2">
        <w:rPr>
          <w:rFonts w:eastAsia="Calibri"/>
          <w:sz w:val="28"/>
          <w:szCs w:val="28"/>
        </w:rPr>
        <w:t>atients with any condition that may cause an elevation</w:t>
      </w:r>
      <w:r w:rsidRPr="00F158F2">
        <w:rPr>
          <w:rFonts w:eastAsia="Calibri"/>
          <w:sz w:val="28"/>
          <w:szCs w:val="28"/>
          <w:lang w:bidi="ar-EG"/>
        </w:rPr>
        <w:t xml:space="preserve"> of serotonin like serotonin syndrome or the use of drugs affecting serotonin level</w:t>
      </w:r>
      <w:r>
        <w:rPr>
          <w:rFonts w:eastAsia="Calibri"/>
          <w:sz w:val="28"/>
          <w:szCs w:val="28"/>
          <w:lang w:bidi="ar-EG"/>
        </w:rPr>
        <w:t>.</w:t>
      </w:r>
    </w:p>
    <w:p w:rsidR="000A3F37" w:rsidRPr="00BF6A60" w:rsidRDefault="000A3F37" w:rsidP="000A3F37">
      <w:pPr>
        <w:tabs>
          <w:tab w:val="left" w:pos="284"/>
        </w:tabs>
        <w:bidi w:val="0"/>
        <w:spacing w:line="276" w:lineRule="auto"/>
        <w:jc w:val="both"/>
        <w:rPr>
          <w:rFonts w:eastAsia="Calibri"/>
          <w:b/>
          <w:bCs/>
          <w:i/>
          <w:iCs/>
          <w:sz w:val="28"/>
          <w:szCs w:val="28"/>
          <w:u w:val="single"/>
          <w:lang w:bidi="ar-EG"/>
        </w:rPr>
      </w:pPr>
    </w:p>
    <w:p w:rsidR="000A3F37" w:rsidRDefault="000A3F37" w:rsidP="000A3F37">
      <w:pPr>
        <w:tabs>
          <w:tab w:val="left" w:pos="284"/>
        </w:tabs>
        <w:bidi w:val="0"/>
        <w:spacing w:line="276" w:lineRule="auto"/>
        <w:jc w:val="both"/>
        <w:rPr>
          <w:rFonts w:eastAsia="Calibri"/>
          <w:sz w:val="28"/>
          <w:szCs w:val="28"/>
          <w:lang w:bidi="ar-EG"/>
        </w:rPr>
      </w:pPr>
      <w:r>
        <w:rPr>
          <w:rFonts w:eastAsia="Calibri"/>
          <w:b/>
          <w:bCs/>
          <w:i/>
          <w:iCs/>
          <w:sz w:val="28"/>
          <w:szCs w:val="28"/>
          <w:u w:val="single"/>
          <w:lang w:bidi="ar-EG"/>
        </w:rPr>
        <w:t xml:space="preserve">All studied children were investigated including, </w:t>
      </w:r>
      <w:r w:rsidRPr="00F158F2">
        <w:rPr>
          <w:rFonts w:eastAsia="Calibri"/>
          <w:i/>
          <w:iCs/>
          <w:sz w:val="28"/>
          <w:szCs w:val="28"/>
          <w:u w:val="single"/>
          <w:lang w:bidi="ar-EG"/>
        </w:rPr>
        <w:t>c</w:t>
      </w:r>
      <w:r w:rsidRPr="00F158F2">
        <w:rPr>
          <w:rFonts w:eastAsia="Calibri"/>
          <w:sz w:val="28"/>
          <w:szCs w:val="28"/>
          <w:lang w:bidi="ar-EG"/>
        </w:rPr>
        <w:t>omplete blood count and liver function tests,  Electroencephalogram (EEG and neuroimaging:</w:t>
      </w:r>
      <w:r w:rsidRPr="00F158F2">
        <w:rPr>
          <w:rFonts w:eastAsia="Calibri"/>
          <w:i/>
          <w:iCs/>
          <w:sz w:val="28"/>
          <w:szCs w:val="28"/>
          <w:lang w:bidi="ar-EG"/>
        </w:rPr>
        <w:t xml:space="preserve"> </w:t>
      </w:r>
      <w:r w:rsidRPr="00F158F2">
        <w:rPr>
          <w:rFonts w:eastAsia="Calibri"/>
          <w:sz w:val="28"/>
          <w:szCs w:val="28"/>
          <w:lang w:bidi="ar-EG"/>
        </w:rPr>
        <w:t>Computed tomography (CT) or Magnetic resonance imaging (MRI) of the brain, if needed.</w:t>
      </w:r>
      <w:r>
        <w:rPr>
          <w:rFonts w:eastAsia="Calibri"/>
          <w:sz w:val="28"/>
          <w:szCs w:val="28"/>
          <w:lang w:bidi="ar-EG"/>
        </w:rPr>
        <w:t xml:space="preserve"> </w:t>
      </w:r>
      <w:r w:rsidRPr="00BF6A60">
        <w:rPr>
          <w:rFonts w:eastAsia="Calibri"/>
          <w:b/>
          <w:bCs/>
          <w:sz w:val="28"/>
          <w:szCs w:val="28"/>
          <w:lang w:bidi="ar-EG"/>
        </w:rPr>
        <w:t>Serum levels of serotonin by E</w:t>
      </w:r>
      <w:r>
        <w:rPr>
          <w:rFonts w:eastAsia="Calibri"/>
          <w:b/>
          <w:bCs/>
          <w:sz w:val="28"/>
          <w:szCs w:val="28"/>
          <w:lang w:bidi="ar-EG"/>
        </w:rPr>
        <w:t>LISA</w:t>
      </w:r>
      <w:r w:rsidRPr="00BF6A60">
        <w:rPr>
          <w:rFonts w:eastAsia="Calibri"/>
          <w:b/>
          <w:bCs/>
          <w:sz w:val="28"/>
          <w:szCs w:val="28"/>
          <w:lang w:bidi="ar-EG"/>
        </w:rPr>
        <w:t xml:space="preserve"> method</w:t>
      </w:r>
      <w:r>
        <w:rPr>
          <w:rFonts w:eastAsia="Calibri"/>
          <w:b/>
          <w:bCs/>
          <w:sz w:val="28"/>
          <w:szCs w:val="28"/>
          <w:lang w:bidi="ar-EG"/>
        </w:rPr>
        <w:t xml:space="preserve"> </w:t>
      </w:r>
      <w:r w:rsidRPr="00BF6A60">
        <w:rPr>
          <w:rFonts w:eastAsia="Calibri"/>
          <w:sz w:val="28"/>
          <w:szCs w:val="28"/>
          <w:lang w:bidi="ar-EG"/>
        </w:rPr>
        <w:t>at the first presentation of the child and later after three and five months follow-up.</w:t>
      </w:r>
      <w:r>
        <w:rPr>
          <w:rFonts w:eastAsia="Calibri"/>
          <w:sz w:val="28"/>
          <w:szCs w:val="28"/>
          <w:lang w:bidi="ar-EG"/>
        </w:rPr>
        <w:t xml:space="preserve"> Statistical analysis was done using SPSS ver.16. All ethical considerations were taken</w:t>
      </w:r>
      <w:r w:rsidR="00CB2AC8">
        <w:rPr>
          <w:rFonts w:eastAsia="Calibri"/>
          <w:sz w:val="28"/>
          <w:szCs w:val="28"/>
          <w:lang w:bidi="ar-EG"/>
        </w:rPr>
        <w:t xml:space="preserve"> </w:t>
      </w:r>
      <w:proofErr w:type="gramStart"/>
      <w:r w:rsidR="00CB2AC8">
        <w:rPr>
          <w:rFonts w:eastAsia="Calibri"/>
          <w:sz w:val="28"/>
          <w:szCs w:val="28"/>
          <w:lang w:bidi="ar-EG"/>
        </w:rPr>
        <w:t>( A</w:t>
      </w:r>
      <w:proofErr w:type="gramEnd"/>
      <w:r w:rsidR="00CB2AC8">
        <w:rPr>
          <w:rFonts w:eastAsia="Calibri"/>
          <w:sz w:val="28"/>
          <w:szCs w:val="28"/>
          <w:lang w:bidi="ar-EG"/>
        </w:rPr>
        <w:t xml:space="preserve"> written informed consent prior to participation in </w:t>
      </w:r>
      <w:proofErr w:type="spellStart"/>
      <w:r w:rsidR="00CB2AC8">
        <w:rPr>
          <w:rFonts w:eastAsia="Calibri"/>
          <w:sz w:val="28"/>
          <w:szCs w:val="28"/>
          <w:lang w:bidi="ar-EG"/>
        </w:rPr>
        <w:t>thisstudy</w:t>
      </w:r>
      <w:proofErr w:type="spellEnd"/>
      <w:r>
        <w:rPr>
          <w:rFonts w:eastAsia="Calibri"/>
          <w:sz w:val="28"/>
          <w:szCs w:val="28"/>
          <w:lang w:bidi="ar-EG"/>
        </w:rPr>
        <w:t>.</w:t>
      </w:r>
    </w:p>
    <w:p w:rsidR="00B2768A" w:rsidRDefault="00B2768A" w:rsidP="000A3F37">
      <w:pPr>
        <w:tabs>
          <w:tab w:val="left" w:pos="284"/>
        </w:tabs>
        <w:bidi w:val="0"/>
        <w:spacing w:line="420" w:lineRule="atLeast"/>
        <w:jc w:val="both"/>
        <w:rPr>
          <w:rFonts w:eastAsia="Calibri"/>
          <w:sz w:val="28"/>
          <w:szCs w:val="28"/>
          <w:lang w:bidi="ar-EG"/>
        </w:rPr>
      </w:pPr>
    </w:p>
    <w:p w:rsidR="00B2768A" w:rsidRDefault="00B2768A" w:rsidP="00B2768A">
      <w:pPr>
        <w:tabs>
          <w:tab w:val="left" w:pos="284"/>
        </w:tabs>
        <w:bidi w:val="0"/>
        <w:spacing w:line="420" w:lineRule="atLeast"/>
        <w:jc w:val="both"/>
        <w:rPr>
          <w:rFonts w:eastAsia="Calibri"/>
          <w:sz w:val="28"/>
          <w:szCs w:val="28"/>
          <w:lang w:bidi="ar-EG"/>
        </w:rPr>
      </w:pPr>
    </w:p>
    <w:p w:rsidR="00B2768A" w:rsidRDefault="00B2768A" w:rsidP="00B2768A">
      <w:pPr>
        <w:tabs>
          <w:tab w:val="left" w:pos="284"/>
        </w:tabs>
        <w:bidi w:val="0"/>
        <w:spacing w:line="420" w:lineRule="atLeast"/>
        <w:jc w:val="both"/>
        <w:rPr>
          <w:rFonts w:eastAsia="Calibri"/>
          <w:sz w:val="28"/>
          <w:szCs w:val="28"/>
          <w:lang w:bidi="ar-EG"/>
        </w:rPr>
      </w:pPr>
    </w:p>
    <w:p w:rsidR="000A3F37" w:rsidRPr="006466BC" w:rsidRDefault="000A3F37" w:rsidP="00B2768A">
      <w:pPr>
        <w:tabs>
          <w:tab w:val="left" w:pos="284"/>
        </w:tabs>
        <w:bidi w:val="0"/>
        <w:spacing w:line="420" w:lineRule="atLeast"/>
        <w:jc w:val="both"/>
        <w:rPr>
          <w:rFonts w:eastAsia="Calibri"/>
          <w:b/>
          <w:bCs/>
          <w:sz w:val="32"/>
          <w:szCs w:val="32"/>
          <w:lang w:bidi="ar-EG"/>
        </w:rPr>
      </w:pPr>
      <w:r w:rsidRPr="006466BC">
        <w:rPr>
          <w:b/>
          <w:bCs/>
          <w:sz w:val="32"/>
          <w:szCs w:val="32"/>
        </w:rPr>
        <w:lastRenderedPageBreak/>
        <w:t>Results</w:t>
      </w:r>
      <w:r w:rsidRPr="006466BC">
        <w:rPr>
          <w:rFonts w:eastAsia="Calibri"/>
          <w:b/>
          <w:bCs/>
          <w:sz w:val="32"/>
          <w:szCs w:val="32"/>
          <w:lang w:bidi="ar-EG"/>
        </w:rPr>
        <w:t>:</w:t>
      </w:r>
    </w:p>
    <w:p w:rsidR="000A3F37" w:rsidRDefault="000A3F37" w:rsidP="000A3F37">
      <w:pPr>
        <w:bidi w:val="0"/>
        <w:spacing w:before="240" w:line="420" w:lineRule="atLeast"/>
        <w:ind w:firstLine="426"/>
        <w:jc w:val="both"/>
        <w:rPr>
          <w:rFonts w:eastAsia="SimSun"/>
          <w:sz w:val="28"/>
          <w:szCs w:val="28"/>
          <w:lang w:eastAsia="zh-CN" w:bidi="ar-EG"/>
        </w:rPr>
      </w:pPr>
      <w:r w:rsidRPr="00BF6A60">
        <w:rPr>
          <w:rFonts w:eastAsia="SimSun"/>
          <w:sz w:val="28"/>
          <w:szCs w:val="28"/>
          <w:lang w:eastAsia="zh-CN" w:bidi="ar-EG"/>
        </w:rPr>
        <w:t xml:space="preserve">Results of this study </w:t>
      </w:r>
      <w:r>
        <w:rPr>
          <w:rFonts w:eastAsia="SimSun"/>
          <w:sz w:val="28"/>
          <w:szCs w:val="28"/>
          <w:lang w:eastAsia="zh-CN" w:bidi="ar-EG"/>
        </w:rPr>
        <w:t xml:space="preserve">showed that </w:t>
      </w:r>
      <w:r>
        <w:rPr>
          <w:rFonts w:eastAsia="SimSun"/>
          <w:sz w:val="28"/>
          <w:szCs w:val="28"/>
          <w:lang w:eastAsia="zh-CN"/>
        </w:rPr>
        <w:t xml:space="preserve">twenty four </w:t>
      </w:r>
      <w:r w:rsidRPr="00BF6A60">
        <w:rPr>
          <w:rFonts w:eastAsia="SimSun"/>
          <w:sz w:val="28"/>
          <w:szCs w:val="28"/>
          <w:lang w:eastAsia="zh-CN" w:bidi="ar-EG"/>
        </w:rPr>
        <w:t>cases (80%) had generalized tonic clonic convulsions (GTC) while 6 cases (20%) had focal convulsions: 4 cases (13%) had complex partial seizures (CPS), 2 cases (7%) had focal convulsions with secondary generalization.</w:t>
      </w:r>
    </w:p>
    <w:p w:rsidR="00337820" w:rsidRDefault="000A3F37" w:rsidP="007073B0">
      <w:pPr>
        <w:tabs>
          <w:tab w:val="right" w:pos="284"/>
        </w:tabs>
        <w:bidi w:val="0"/>
        <w:spacing w:before="240" w:line="420" w:lineRule="atLeast"/>
        <w:ind w:firstLine="284"/>
        <w:jc w:val="lowKashida"/>
        <w:rPr>
          <w:rFonts w:eastAsia="SimSun"/>
          <w:sz w:val="28"/>
          <w:szCs w:val="28"/>
          <w:lang w:eastAsia="zh-CN"/>
        </w:rPr>
      </w:pPr>
      <w:r>
        <w:rPr>
          <w:rFonts w:eastAsia="SimSun"/>
          <w:sz w:val="28"/>
          <w:szCs w:val="28"/>
          <w:lang w:eastAsia="zh-CN"/>
        </w:rPr>
        <w:t xml:space="preserve"> </w:t>
      </w:r>
      <w:r w:rsidR="007073B0">
        <w:rPr>
          <w:rFonts w:eastAsia="SimSun"/>
          <w:sz w:val="28"/>
          <w:szCs w:val="28"/>
          <w:lang w:eastAsia="zh-CN"/>
        </w:rPr>
        <w:t>Figure (1) shows that t</w:t>
      </w:r>
      <w:r>
        <w:rPr>
          <w:rFonts w:eastAsia="SimSun"/>
          <w:sz w:val="28"/>
          <w:szCs w:val="28"/>
          <w:lang w:eastAsia="zh-CN"/>
        </w:rPr>
        <w:t xml:space="preserve">he </w:t>
      </w:r>
      <w:r w:rsidRPr="00BF6A60">
        <w:rPr>
          <w:rFonts w:eastAsia="SimSun"/>
          <w:sz w:val="28"/>
          <w:szCs w:val="28"/>
          <w:lang w:eastAsia="zh-CN"/>
        </w:rPr>
        <w:t xml:space="preserve">mean serum serotonin level is not significantly decreased in epileptic </w:t>
      </w:r>
      <w:r>
        <w:rPr>
          <w:rFonts w:eastAsia="SimSun"/>
          <w:sz w:val="28"/>
          <w:szCs w:val="28"/>
          <w:lang w:eastAsia="zh-CN"/>
        </w:rPr>
        <w:t>children as</w:t>
      </w:r>
      <w:r w:rsidRPr="00BF6A60">
        <w:rPr>
          <w:rFonts w:eastAsia="SimSun"/>
          <w:sz w:val="28"/>
          <w:szCs w:val="28"/>
          <w:lang w:eastAsia="zh-CN"/>
        </w:rPr>
        <w:t xml:space="preserve"> compar</w:t>
      </w:r>
      <w:r>
        <w:rPr>
          <w:rFonts w:eastAsia="SimSun"/>
          <w:sz w:val="28"/>
          <w:szCs w:val="28"/>
          <w:lang w:eastAsia="zh-CN"/>
        </w:rPr>
        <w:t>ed</w:t>
      </w:r>
      <w:r w:rsidRPr="00BF6A60">
        <w:rPr>
          <w:rFonts w:eastAsia="SimSun"/>
          <w:sz w:val="28"/>
          <w:szCs w:val="28"/>
          <w:lang w:eastAsia="zh-CN"/>
        </w:rPr>
        <w:t xml:space="preserve"> to control</w:t>
      </w:r>
      <w:r>
        <w:rPr>
          <w:rFonts w:eastAsia="SimSun"/>
          <w:sz w:val="28"/>
          <w:szCs w:val="28"/>
          <w:lang w:eastAsia="zh-CN"/>
        </w:rPr>
        <w:t>s</w:t>
      </w:r>
      <w:r w:rsidRPr="00BF6A60">
        <w:rPr>
          <w:rFonts w:eastAsia="SimSun"/>
          <w:sz w:val="28"/>
          <w:szCs w:val="28"/>
          <w:lang w:eastAsia="zh-CN"/>
        </w:rPr>
        <w:t xml:space="preserve"> (P </w:t>
      </w:r>
      <w:r>
        <w:rPr>
          <w:rFonts w:eastAsia="SimSun"/>
          <w:sz w:val="28"/>
          <w:szCs w:val="28"/>
          <w:lang w:eastAsia="zh-CN"/>
        </w:rPr>
        <w:t>&lt;</w:t>
      </w:r>
      <w:r w:rsidRPr="00BF6A60">
        <w:rPr>
          <w:rFonts w:eastAsia="SimSun"/>
          <w:sz w:val="28"/>
          <w:szCs w:val="28"/>
          <w:lang w:eastAsia="zh-CN"/>
        </w:rPr>
        <w:t>0.05)</w:t>
      </w:r>
      <w:r>
        <w:rPr>
          <w:rFonts w:eastAsia="SimSun"/>
          <w:sz w:val="28"/>
          <w:szCs w:val="28"/>
          <w:lang w:eastAsia="zh-CN"/>
        </w:rPr>
        <w:t>.</w:t>
      </w:r>
      <w:r w:rsidRPr="008D55A2">
        <w:rPr>
          <w:rFonts w:eastAsia="SimSun"/>
          <w:sz w:val="28"/>
          <w:szCs w:val="28"/>
          <w:lang w:eastAsia="zh-CN"/>
        </w:rPr>
        <w:t xml:space="preserve"> </w:t>
      </w:r>
    </w:p>
    <w:p w:rsidR="000A3F37" w:rsidRDefault="00F432EE" w:rsidP="000A3F37">
      <w:pPr>
        <w:bidi w:val="0"/>
        <w:spacing w:before="240" w:line="420" w:lineRule="atLeast"/>
        <w:jc w:val="center"/>
        <w:rPr>
          <w:rFonts w:eastAsia="SimSun"/>
          <w:b/>
          <w:bCs/>
          <w:i/>
          <w:iCs/>
          <w:sz w:val="26"/>
          <w:szCs w:val="26"/>
          <w:lang w:eastAsia="zh-CN"/>
        </w:rPr>
      </w:pPr>
      <w:r>
        <w:rPr>
          <w:rFonts w:eastAsia="SimSun"/>
          <w:noProof/>
        </w:rPr>
        <w:drawing>
          <wp:inline distT="0" distB="0" distL="0" distR="0">
            <wp:extent cx="4171950" cy="1790700"/>
            <wp:effectExtent l="0" t="0" r="0" b="0"/>
            <wp:docPr id="1" name="Object 40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3F37" w:rsidRPr="00BF6A60" w:rsidRDefault="000A3F37" w:rsidP="000A3F37">
      <w:pPr>
        <w:bidi w:val="0"/>
        <w:spacing w:before="240" w:line="420" w:lineRule="atLeast"/>
        <w:ind w:firstLine="720"/>
        <w:jc w:val="center"/>
        <w:rPr>
          <w:rFonts w:eastAsia="SimSun"/>
          <w:sz w:val="26"/>
          <w:szCs w:val="26"/>
          <w:lang w:eastAsia="zh-CN" w:bidi="ar-EG"/>
        </w:rPr>
      </w:pPr>
      <w:r w:rsidRPr="00BF6A60">
        <w:rPr>
          <w:rFonts w:eastAsia="SimSun"/>
          <w:b/>
          <w:bCs/>
          <w:i/>
          <w:iCs/>
          <w:sz w:val="26"/>
          <w:szCs w:val="26"/>
          <w:lang w:eastAsia="zh-CN"/>
        </w:rPr>
        <w:t>Fig</w:t>
      </w:r>
      <w:r w:rsidRPr="00BF6A60">
        <w:rPr>
          <w:rFonts w:eastAsia="SimSun"/>
          <w:b/>
          <w:bCs/>
          <w:i/>
          <w:iCs/>
          <w:sz w:val="26"/>
          <w:szCs w:val="26"/>
          <w:lang w:eastAsia="zh-CN" w:bidi="ar-EG"/>
        </w:rPr>
        <w:t xml:space="preserve"> (</w:t>
      </w:r>
      <w:r>
        <w:rPr>
          <w:rFonts w:eastAsia="SimSun"/>
          <w:b/>
          <w:bCs/>
          <w:i/>
          <w:iCs/>
          <w:sz w:val="26"/>
          <w:szCs w:val="26"/>
          <w:lang w:eastAsia="zh-CN" w:bidi="ar-EG"/>
        </w:rPr>
        <w:t>1</w:t>
      </w:r>
      <w:r w:rsidRPr="00BF6A60">
        <w:rPr>
          <w:rFonts w:eastAsia="SimSun"/>
          <w:b/>
          <w:bCs/>
          <w:i/>
          <w:iCs/>
          <w:sz w:val="26"/>
          <w:szCs w:val="26"/>
          <w:lang w:eastAsia="zh-CN" w:bidi="ar-EG"/>
        </w:rPr>
        <w:t xml:space="preserve">): </w:t>
      </w:r>
      <w:r w:rsidRPr="00BF6A60">
        <w:rPr>
          <w:rFonts w:eastAsia="SimSun"/>
          <w:sz w:val="26"/>
          <w:szCs w:val="26"/>
          <w:lang w:eastAsia="zh-CN" w:bidi="ar-EG"/>
        </w:rPr>
        <w:t xml:space="preserve">Mean Serum Serotonin levels in Idiopathic Epileptic Patients </w:t>
      </w:r>
      <w:r>
        <w:rPr>
          <w:rFonts w:eastAsia="SimSun"/>
          <w:sz w:val="26"/>
          <w:szCs w:val="26"/>
          <w:lang w:eastAsia="zh-CN" w:bidi="ar-EG"/>
        </w:rPr>
        <w:t>and</w:t>
      </w:r>
      <w:r w:rsidRPr="00BF6A60">
        <w:rPr>
          <w:rFonts w:eastAsia="SimSun"/>
          <w:sz w:val="26"/>
          <w:szCs w:val="26"/>
          <w:lang w:eastAsia="zh-CN" w:bidi="ar-EG"/>
        </w:rPr>
        <w:t xml:space="preserve"> Controls</w:t>
      </w:r>
    </w:p>
    <w:p w:rsidR="000A3F37" w:rsidRDefault="000A3F37" w:rsidP="000A3F37">
      <w:pPr>
        <w:tabs>
          <w:tab w:val="left" w:pos="2309"/>
        </w:tabs>
        <w:bidi w:val="0"/>
        <w:spacing w:after="120"/>
        <w:ind w:left="1134" w:hanging="1134"/>
        <w:jc w:val="center"/>
        <w:rPr>
          <w:rFonts w:eastAsia="SimSun"/>
          <w:b/>
          <w:bCs/>
          <w:lang w:eastAsia="zh-CN" w:bidi="ar-EG"/>
        </w:rPr>
      </w:pPr>
    </w:p>
    <w:p w:rsidR="00337820" w:rsidRPr="00BF6A60" w:rsidRDefault="00337820" w:rsidP="00337820">
      <w:pPr>
        <w:tabs>
          <w:tab w:val="right" w:pos="284"/>
        </w:tabs>
        <w:bidi w:val="0"/>
        <w:spacing w:before="240" w:line="420" w:lineRule="atLeast"/>
        <w:ind w:firstLine="284"/>
        <w:jc w:val="lowKashida"/>
        <w:rPr>
          <w:rFonts w:eastAsia="SimSun"/>
          <w:sz w:val="28"/>
          <w:szCs w:val="28"/>
          <w:lang w:eastAsia="zh-CN"/>
        </w:rPr>
      </w:pPr>
      <w:r>
        <w:rPr>
          <w:rFonts w:eastAsia="SimSun"/>
          <w:sz w:val="28"/>
          <w:szCs w:val="28"/>
          <w:lang w:eastAsia="zh-CN"/>
        </w:rPr>
        <w:t>Table (1) shows that t</w:t>
      </w:r>
      <w:r w:rsidRPr="00BF6A60">
        <w:rPr>
          <w:rFonts w:eastAsia="SimSun"/>
          <w:sz w:val="28"/>
          <w:szCs w:val="28"/>
          <w:lang w:eastAsia="zh-CN"/>
        </w:rPr>
        <w:t>here are significant good response to AED in idiopathic epileptic patients since the increase in the time intervals from the time of last seizure (P</w:t>
      </w:r>
      <w:r>
        <w:rPr>
          <w:rFonts w:eastAsia="SimSun"/>
          <w:sz w:val="28"/>
          <w:szCs w:val="28"/>
          <w:lang w:eastAsia="zh-CN"/>
        </w:rPr>
        <w:t>&lt;</w:t>
      </w:r>
      <w:r w:rsidRPr="00BF6A60">
        <w:rPr>
          <w:rFonts w:eastAsia="SimSun"/>
          <w:sz w:val="28"/>
          <w:szCs w:val="28"/>
          <w:lang w:eastAsia="zh-CN"/>
        </w:rPr>
        <w:t>0.001)</w:t>
      </w:r>
      <w:r>
        <w:rPr>
          <w:rFonts w:eastAsia="SimSun"/>
          <w:sz w:val="28"/>
          <w:szCs w:val="28"/>
          <w:lang w:eastAsia="zh-CN"/>
        </w:rPr>
        <w:t>.</w:t>
      </w:r>
    </w:p>
    <w:p w:rsidR="00337820" w:rsidRPr="00337820" w:rsidRDefault="00337820" w:rsidP="00337820">
      <w:pPr>
        <w:tabs>
          <w:tab w:val="left" w:pos="2309"/>
        </w:tabs>
        <w:bidi w:val="0"/>
        <w:spacing w:after="120"/>
        <w:ind w:left="1134" w:hanging="1134"/>
        <w:jc w:val="lowKashida"/>
        <w:rPr>
          <w:rFonts w:eastAsia="SimSun"/>
          <w:lang w:eastAsia="zh-CN" w:bidi="ar-EG"/>
        </w:rPr>
      </w:pPr>
    </w:p>
    <w:p w:rsidR="000A3F37" w:rsidRPr="00B576A4" w:rsidRDefault="000A3F37" w:rsidP="000A3F37">
      <w:pPr>
        <w:tabs>
          <w:tab w:val="left" w:pos="2309"/>
        </w:tabs>
        <w:bidi w:val="0"/>
        <w:spacing w:after="120"/>
        <w:ind w:left="1134" w:hanging="1134"/>
        <w:jc w:val="center"/>
        <w:rPr>
          <w:rFonts w:eastAsia="SimSun"/>
          <w:b/>
          <w:bCs/>
          <w:lang w:eastAsia="zh-CN" w:bidi="ar-EG"/>
        </w:rPr>
      </w:pPr>
      <w:r w:rsidRPr="00B576A4">
        <w:rPr>
          <w:rFonts w:eastAsia="SimSun"/>
          <w:b/>
          <w:bCs/>
          <w:lang w:eastAsia="zh-CN" w:bidi="ar-EG"/>
        </w:rPr>
        <w:t>Table (1): Median values of time intervals from the time of last seizure in Idiopathic Epileptic Patients.</w:t>
      </w:r>
    </w:p>
    <w:tbl>
      <w:tblPr>
        <w:tblW w:w="9962" w:type="dxa"/>
        <w:jc w:val="center"/>
        <w:tblLook w:val="0000"/>
      </w:tblPr>
      <w:tblGrid>
        <w:gridCol w:w="1038"/>
        <w:gridCol w:w="768"/>
        <w:gridCol w:w="284"/>
        <w:gridCol w:w="868"/>
        <w:gridCol w:w="1909"/>
        <w:gridCol w:w="2189"/>
        <w:gridCol w:w="1231"/>
        <w:gridCol w:w="1675"/>
      </w:tblGrid>
      <w:tr w:rsidR="000A3F37" w:rsidRPr="00BF6A60" w:rsidTr="00807206">
        <w:trPr>
          <w:cantSplit/>
          <w:jc w:val="center"/>
        </w:trPr>
        <w:tc>
          <w:tcPr>
            <w:tcW w:w="0" w:type="auto"/>
            <w:vMerge w:val="restart"/>
            <w:tcBorders>
              <w:top w:val="double" w:sz="4" w:space="0" w:color="auto"/>
              <w:left w:val="double" w:sz="4" w:space="0" w:color="auto"/>
              <w:bottom w:val="double" w:sz="4" w:space="0" w:color="auto"/>
              <w:right w:val="doub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b/>
                <w:bCs/>
                <w:sz w:val="20"/>
                <w:szCs w:val="20"/>
                <w:lang w:eastAsia="zh-CN"/>
              </w:rPr>
              <w:t> </w:t>
            </w:r>
          </w:p>
        </w:tc>
        <w:tc>
          <w:tcPr>
            <w:tcW w:w="6023" w:type="dxa"/>
            <w:gridSpan w:val="5"/>
            <w:tcBorders>
              <w:top w:val="double" w:sz="4" w:space="0" w:color="auto"/>
              <w:left w:val="double" w:sz="4" w:space="0" w:color="auto"/>
              <w:bottom w:val="double" w:sz="4" w:space="0" w:color="auto"/>
              <w:right w:val="double" w:sz="4" w:space="0" w:color="auto"/>
            </w:tcBorders>
            <w:shd w:val="clear" w:color="auto" w:fill="FBD4B4"/>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b/>
                <w:bCs/>
                <w:sz w:val="20"/>
                <w:szCs w:val="20"/>
                <w:lang w:eastAsia="zh-CN"/>
              </w:rPr>
              <w:t>Last seizure</w:t>
            </w:r>
          </w:p>
        </w:tc>
        <w:tc>
          <w:tcPr>
            <w:tcW w:w="2908" w:type="dxa"/>
            <w:gridSpan w:val="2"/>
            <w:tcBorders>
              <w:top w:val="double" w:sz="4" w:space="0" w:color="auto"/>
              <w:left w:val="double" w:sz="4" w:space="0" w:color="auto"/>
              <w:bottom w:val="double" w:sz="4" w:space="0" w:color="auto"/>
              <w:right w:val="doub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b/>
                <w:bCs/>
                <w:sz w:val="20"/>
                <w:szCs w:val="20"/>
                <w:lang w:eastAsia="zh-CN"/>
              </w:rPr>
              <w:t>Wilcoxon Signed Ranks Test</w:t>
            </w:r>
          </w:p>
        </w:tc>
      </w:tr>
      <w:tr w:rsidR="000A3F37" w:rsidRPr="00BF6A60" w:rsidTr="00807206">
        <w:trPr>
          <w:cantSplit/>
          <w:jc w:val="center"/>
        </w:trPr>
        <w:tc>
          <w:tcPr>
            <w:tcW w:w="0" w:type="auto"/>
            <w:vMerge/>
            <w:tcBorders>
              <w:top w:val="single" w:sz="4" w:space="0" w:color="auto"/>
              <w:left w:val="double" w:sz="4" w:space="0" w:color="auto"/>
              <w:bottom w:val="double" w:sz="4" w:space="0" w:color="auto"/>
              <w:right w:val="double" w:sz="4" w:space="0" w:color="auto"/>
            </w:tcBorders>
            <w:shd w:val="clear" w:color="auto" w:fill="auto"/>
            <w:vAlign w:val="center"/>
          </w:tcPr>
          <w:p w:rsidR="000A3F37" w:rsidRPr="00BF6A60" w:rsidRDefault="000A3F37" w:rsidP="00807206">
            <w:pPr>
              <w:bidi w:val="0"/>
              <w:spacing w:before="60" w:after="60"/>
              <w:rPr>
                <w:rFonts w:eastAsia="SimSun"/>
                <w:b/>
                <w:bCs/>
                <w:sz w:val="20"/>
                <w:szCs w:val="20"/>
                <w:lang w:eastAsia="zh-CN"/>
              </w:rPr>
            </w:pPr>
          </w:p>
        </w:tc>
        <w:tc>
          <w:tcPr>
            <w:tcW w:w="0" w:type="auto"/>
            <w:gridSpan w:val="3"/>
            <w:tcBorders>
              <w:top w:val="double" w:sz="4" w:space="0" w:color="auto"/>
              <w:left w:val="double" w:sz="4" w:space="0" w:color="auto"/>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b/>
                <w:bCs/>
                <w:sz w:val="20"/>
                <w:szCs w:val="20"/>
                <w:lang w:eastAsia="zh-CN"/>
              </w:rPr>
              <w:t>Range</w:t>
            </w:r>
          </w:p>
        </w:tc>
        <w:tc>
          <w:tcPr>
            <w:tcW w:w="1904" w:type="dxa"/>
            <w:tcBorders>
              <w:top w:val="double" w:sz="4" w:space="0" w:color="auto"/>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b/>
                <w:bCs/>
                <w:sz w:val="20"/>
                <w:szCs w:val="20"/>
                <w:lang w:eastAsia="zh-CN"/>
              </w:rPr>
              <w:t>Median</w:t>
            </w:r>
          </w:p>
        </w:tc>
        <w:tc>
          <w:tcPr>
            <w:tcW w:w="2183" w:type="dxa"/>
            <w:tcBorders>
              <w:top w:val="double" w:sz="4" w:space="0" w:color="auto"/>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b/>
                <w:bCs/>
                <w:sz w:val="20"/>
                <w:szCs w:val="20"/>
                <w:lang w:eastAsia="zh-CN"/>
              </w:rPr>
              <w:t>Interquartile Range</w:t>
            </w:r>
          </w:p>
        </w:tc>
        <w:tc>
          <w:tcPr>
            <w:tcW w:w="1232" w:type="dxa"/>
            <w:tcBorders>
              <w:top w:val="double" w:sz="4" w:space="0" w:color="auto"/>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b/>
                <w:bCs/>
                <w:sz w:val="20"/>
                <w:szCs w:val="20"/>
                <w:lang w:eastAsia="zh-CN"/>
              </w:rPr>
              <w:t>Z</w:t>
            </w:r>
          </w:p>
        </w:tc>
        <w:tc>
          <w:tcPr>
            <w:tcW w:w="0" w:type="auto"/>
            <w:tcBorders>
              <w:top w:val="double" w:sz="4" w:space="0" w:color="auto"/>
              <w:left w:val="nil"/>
              <w:bottom w:val="single" w:sz="4" w:space="0" w:color="auto"/>
              <w:right w:val="doub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b/>
                <w:bCs/>
                <w:sz w:val="20"/>
                <w:szCs w:val="20"/>
                <w:lang w:eastAsia="zh-CN"/>
              </w:rPr>
              <w:t>P-value</w:t>
            </w:r>
          </w:p>
        </w:tc>
      </w:tr>
      <w:tr w:rsidR="000A3F37" w:rsidRPr="00BF6A60" w:rsidTr="00807206">
        <w:trPr>
          <w:cantSplit/>
          <w:jc w:val="center"/>
        </w:trPr>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b/>
                <w:bCs/>
                <w:sz w:val="20"/>
                <w:szCs w:val="20"/>
                <w:lang w:eastAsia="zh-CN"/>
              </w:rPr>
              <w:t xml:space="preserve">Baseline </w:t>
            </w:r>
          </w:p>
        </w:tc>
        <w:tc>
          <w:tcPr>
            <w:tcW w:w="0" w:type="auto"/>
            <w:tcBorders>
              <w:top w:val="nil"/>
              <w:left w:val="nil"/>
              <w:bottom w:val="single" w:sz="4" w:space="0" w:color="auto"/>
            </w:tcBorders>
            <w:shd w:val="clear" w:color="auto" w:fill="auto"/>
            <w:noWrap/>
            <w:vAlign w:val="center"/>
          </w:tcPr>
          <w:p w:rsidR="000A3F37" w:rsidRPr="00BF6A60" w:rsidRDefault="000A3F37" w:rsidP="00807206">
            <w:pPr>
              <w:bidi w:val="0"/>
              <w:spacing w:before="60" w:after="60"/>
              <w:jc w:val="right"/>
              <w:rPr>
                <w:rFonts w:eastAsia="SimSun"/>
                <w:sz w:val="20"/>
                <w:szCs w:val="20"/>
                <w:lang w:eastAsia="zh-CN"/>
              </w:rPr>
            </w:pPr>
            <w:r w:rsidRPr="00BF6A60">
              <w:rPr>
                <w:rFonts w:eastAsia="SimSun"/>
                <w:sz w:val="20"/>
                <w:szCs w:val="20"/>
                <w:lang w:eastAsia="zh-CN"/>
              </w:rPr>
              <w:t>1.000</w:t>
            </w:r>
          </w:p>
        </w:tc>
        <w:tc>
          <w:tcPr>
            <w:tcW w:w="0" w:type="auto"/>
            <w:tcBorders>
              <w:top w:val="nil"/>
              <w:left w:val="nil"/>
              <w:bottom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rPr>
                <w:rFonts w:eastAsia="SimSun"/>
                <w:sz w:val="20"/>
                <w:szCs w:val="20"/>
                <w:lang w:eastAsia="zh-CN"/>
              </w:rPr>
            </w:pPr>
            <w:r w:rsidRPr="00BF6A60">
              <w:rPr>
                <w:rFonts w:eastAsia="SimSun"/>
                <w:sz w:val="20"/>
                <w:szCs w:val="20"/>
                <w:lang w:eastAsia="zh-CN"/>
              </w:rPr>
              <w:t>20.000</w:t>
            </w:r>
          </w:p>
        </w:tc>
        <w:tc>
          <w:tcPr>
            <w:tcW w:w="1904"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6.000</w:t>
            </w:r>
          </w:p>
        </w:tc>
        <w:tc>
          <w:tcPr>
            <w:tcW w:w="2183"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sz w:val="20"/>
                <w:szCs w:val="20"/>
                <w:lang w:eastAsia="zh-CN"/>
              </w:rPr>
              <w:t>4.250</w:t>
            </w:r>
          </w:p>
        </w:tc>
        <w:tc>
          <w:tcPr>
            <w:tcW w:w="1232"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4.358</w:t>
            </w:r>
          </w:p>
        </w:tc>
        <w:tc>
          <w:tcPr>
            <w:tcW w:w="0" w:type="auto"/>
            <w:tcBorders>
              <w:top w:val="nil"/>
              <w:left w:val="nil"/>
              <w:bottom w:val="single" w:sz="4" w:space="0" w:color="auto"/>
              <w:right w:val="doub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&lt;0.001*</w:t>
            </w:r>
            <w:r w:rsidRPr="00BF6A60">
              <w:rPr>
                <w:rFonts w:eastAsia="SimSun"/>
                <w:b/>
                <w:bCs/>
                <w:sz w:val="20"/>
                <w:szCs w:val="20"/>
                <w:lang w:eastAsia="zh-CN"/>
              </w:rPr>
              <w:t xml:space="preserve"> P1</w:t>
            </w:r>
          </w:p>
        </w:tc>
      </w:tr>
      <w:tr w:rsidR="000A3F37" w:rsidRPr="00BF6A60" w:rsidTr="00807206">
        <w:trPr>
          <w:cantSplit/>
          <w:jc w:val="center"/>
        </w:trPr>
        <w:tc>
          <w:tcPr>
            <w:tcW w:w="0" w:type="auto"/>
            <w:tcBorders>
              <w:top w:val="nil"/>
              <w:left w:val="double" w:sz="4" w:space="0" w:color="auto"/>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b/>
                <w:bCs/>
                <w:sz w:val="20"/>
                <w:szCs w:val="20"/>
                <w:lang w:eastAsia="zh-CN"/>
              </w:rPr>
              <w:t>After 3m.</w:t>
            </w:r>
          </w:p>
        </w:tc>
        <w:tc>
          <w:tcPr>
            <w:tcW w:w="0" w:type="auto"/>
            <w:tcBorders>
              <w:top w:val="nil"/>
              <w:left w:val="nil"/>
              <w:bottom w:val="single" w:sz="4" w:space="0" w:color="auto"/>
            </w:tcBorders>
            <w:shd w:val="clear" w:color="auto" w:fill="auto"/>
            <w:noWrap/>
            <w:vAlign w:val="center"/>
          </w:tcPr>
          <w:p w:rsidR="000A3F37" w:rsidRPr="00BF6A60" w:rsidRDefault="000A3F37" w:rsidP="00807206">
            <w:pPr>
              <w:bidi w:val="0"/>
              <w:spacing w:before="60" w:after="60"/>
              <w:jc w:val="right"/>
              <w:rPr>
                <w:rFonts w:eastAsia="SimSun"/>
                <w:sz w:val="20"/>
                <w:szCs w:val="20"/>
                <w:lang w:eastAsia="zh-CN"/>
              </w:rPr>
            </w:pPr>
            <w:r w:rsidRPr="00BF6A60">
              <w:rPr>
                <w:rFonts w:eastAsia="SimSun"/>
                <w:sz w:val="20"/>
                <w:szCs w:val="20"/>
                <w:lang w:eastAsia="zh-CN"/>
              </w:rPr>
              <w:t>10.000</w:t>
            </w:r>
          </w:p>
        </w:tc>
        <w:tc>
          <w:tcPr>
            <w:tcW w:w="0" w:type="auto"/>
            <w:tcBorders>
              <w:top w:val="nil"/>
              <w:left w:val="nil"/>
              <w:bottom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rPr>
                <w:rFonts w:eastAsia="SimSun"/>
                <w:sz w:val="20"/>
                <w:szCs w:val="20"/>
                <w:lang w:eastAsia="zh-CN"/>
              </w:rPr>
            </w:pPr>
            <w:r w:rsidRPr="00BF6A60">
              <w:rPr>
                <w:rFonts w:eastAsia="SimSun"/>
                <w:sz w:val="20"/>
                <w:szCs w:val="20"/>
                <w:lang w:eastAsia="zh-CN"/>
              </w:rPr>
              <w:t>90.000</w:t>
            </w:r>
          </w:p>
        </w:tc>
        <w:tc>
          <w:tcPr>
            <w:tcW w:w="1904"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65.000</w:t>
            </w:r>
          </w:p>
        </w:tc>
        <w:tc>
          <w:tcPr>
            <w:tcW w:w="2183"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sz w:val="20"/>
                <w:szCs w:val="20"/>
                <w:lang w:eastAsia="zh-CN"/>
              </w:rPr>
              <w:t>34.250</w:t>
            </w:r>
          </w:p>
        </w:tc>
        <w:tc>
          <w:tcPr>
            <w:tcW w:w="1232"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4.075</w:t>
            </w:r>
          </w:p>
        </w:tc>
        <w:tc>
          <w:tcPr>
            <w:tcW w:w="0" w:type="auto"/>
            <w:tcBorders>
              <w:top w:val="nil"/>
              <w:left w:val="nil"/>
              <w:bottom w:val="single" w:sz="4" w:space="0" w:color="auto"/>
              <w:right w:val="doub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&lt;0.001*</w:t>
            </w:r>
            <w:r w:rsidRPr="00BF6A60">
              <w:rPr>
                <w:rFonts w:eastAsia="SimSun"/>
                <w:b/>
                <w:bCs/>
                <w:sz w:val="20"/>
                <w:szCs w:val="20"/>
                <w:lang w:eastAsia="zh-CN"/>
              </w:rPr>
              <w:t xml:space="preserve"> P2</w:t>
            </w:r>
          </w:p>
        </w:tc>
      </w:tr>
      <w:tr w:rsidR="000A3F37" w:rsidRPr="00BF6A60" w:rsidTr="00807206">
        <w:trPr>
          <w:cantSplit/>
          <w:jc w:val="center"/>
        </w:trPr>
        <w:tc>
          <w:tcPr>
            <w:tcW w:w="0" w:type="auto"/>
            <w:tcBorders>
              <w:top w:val="nil"/>
              <w:left w:val="double" w:sz="4" w:space="0" w:color="auto"/>
              <w:bottom w:val="doub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b/>
                <w:bCs/>
                <w:sz w:val="20"/>
                <w:szCs w:val="20"/>
                <w:lang w:eastAsia="zh-CN"/>
              </w:rPr>
              <w:t>After 5m.</w:t>
            </w:r>
          </w:p>
        </w:tc>
        <w:tc>
          <w:tcPr>
            <w:tcW w:w="0" w:type="auto"/>
            <w:tcBorders>
              <w:top w:val="nil"/>
              <w:left w:val="nil"/>
              <w:bottom w:val="double" w:sz="4" w:space="0" w:color="auto"/>
            </w:tcBorders>
            <w:shd w:val="clear" w:color="auto" w:fill="auto"/>
            <w:noWrap/>
            <w:vAlign w:val="center"/>
          </w:tcPr>
          <w:p w:rsidR="000A3F37" w:rsidRPr="00BF6A60" w:rsidRDefault="000A3F37" w:rsidP="00807206">
            <w:pPr>
              <w:bidi w:val="0"/>
              <w:spacing w:before="60" w:after="60"/>
              <w:jc w:val="right"/>
              <w:rPr>
                <w:rFonts w:eastAsia="SimSun"/>
                <w:sz w:val="20"/>
                <w:szCs w:val="20"/>
                <w:lang w:eastAsia="zh-CN"/>
              </w:rPr>
            </w:pPr>
            <w:r w:rsidRPr="00BF6A60">
              <w:rPr>
                <w:rFonts w:eastAsia="SimSun"/>
                <w:sz w:val="20"/>
                <w:szCs w:val="20"/>
                <w:lang w:eastAsia="zh-CN"/>
              </w:rPr>
              <w:t>3.000</w:t>
            </w:r>
          </w:p>
        </w:tc>
        <w:tc>
          <w:tcPr>
            <w:tcW w:w="0" w:type="auto"/>
            <w:tcBorders>
              <w:top w:val="nil"/>
              <w:left w:val="nil"/>
              <w:bottom w:val="doub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w:t>
            </w:r>
          </w:p>
        </w:tc>
        <w:tc>
          <w:tcPr>
            <w:tcW w:w="0" w:type="auto"/>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60" w:after="60"/>
              <w:rPr>
                <w:rFonts w:eastAsia="SimSun"/>
                <w:sz w:val="20"/>
                <w:szCs w:val="20"/>
                <w:lang w:eastAsia="zh-CN"/>
              </w:rPr>
            </w:pPr>
            <w:r w:rsidRPr="00BF6A60">
              <w:rPr>
                <w:rFonts w:eastAsia="SimSun"/>
                <w:sz w:val="20"/>
                <w:szCs w:val="20"/>
                <w:lang w:eastAsia="zh-CN"/>
              </w:rPr>
              <w:t>150.000</w:t>
            </w:r>
          </w:p>
        </w:tc>
        <w:tc>
          <w:tcPr>
            <w:tcW w:w="1904" w:type="dxa"/>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110.000</w:t>
            </w:r>
          </w:p>
        </w:tc>
        <w:tc>
          <w:tcPr>
            <w:tcW w:w="2183" w:type="dxa"/>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b/>
                <w:bCs/>
                <w:sz w:val="20"/>
                <w:szCs w:val="20"/>
                <w:lang w:eastAsia="zh-CN"/>
              </w:rPr>
            </w:pPr>
            <w:r w:rsidRPr="00BF6A60">
              <w:rPr>
                <w:rFonts w:eastAsia="SimSun"/>
                <w:sz w:val="20"/>
                <w:szCs w:val="20"/>
                <w:lang w:eastAsia="zh-CN"/>
              </w:rPr>
              <w:t>68.750</w:t>
            </w:r>
          </w:p>
        </w:tc>
        <w:tc>
          <w:tcPr>
            <w:tcW w:w="1232" w:type="dxa"/>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3.096</w:t>
            </w:r>
          </w:p>
        </w:tc>
        <w:tc>
          <w:tcPr>
            <w:tcW w:w="0" w:type="auto"/>
            <w:tcBorders>
              <w:top w:val="nil"/>
              <w:left w:val="nil"/>
              <w:bottom w:val="double" w:sz="4" w:space="0" w:color="auto"/>
              <w:right w:val="double" w:sz="4" w:space="0" w:color="auto"/>
            </w:tcBorders>
            <w:shd w:val="clear" w:color="auto" w:fill="auto"/>
            <w:noWrap/>
            <w:vAlign w:val="center"/>
          </w:tcPr>
          <w:p w:rsidR="000A3F37" w:rsidRPr="00BF6A60" w:rsidRDefault="000A3F37" w:rsidP="00807206">
            <w:pPr>
              <w:bidi w:val="0"/>
              <w:spacing w:before="60" w:after="60"/>
              <w:jc w:val="center"/>
              <w:rPr>
                <w:rFonts w:eastAsia="SimSun"/>
                <w:sz w:val="20"/>
                <w:szCs w:val="20"/>
                <w:lang w:eastAsia="zh-CN"/>
              </w:rPr>
            </w:pPr>
            <w:r w:rsidRPr="00BF6A60">
              <w:rPr>
                <w:rFonts w:eastAsia="SimSun"/>
                <w:sz w:val="20"/>
                <w:szCs w:val="20"/>
                <w:lang w:eastAsia="zh-CN"/>
              </w:rPr>
              <w:t>&lt;0.001*</w:t>
            </w:r>
            <w:r w:rsidRPr="00BF6A60">
              <w:rPr>
                <w:rFonts w:eastAsia="SimSun"/>
                <w:b/>
                <w:bCs/>
                <w:sz w:val="20"/>
                <w:szCs w:val="20"/>
                <w:lang w:eastAsia="zh-CN"/>
              </w:rPr>
              <w:t xml:space="preserve"> P3</w:t>
            </w:r>
          </w:p>
        </w:tc>
      </w:tr>
    </w:tbl>
    <w:p w:rsidR="000A3F37" w:rsidRDefault="000A3F37" w:rsidP="000A3F37">
      <w:pPr>
        <w:bidi w:val="0"/>
        <w:spacing w:before="240" w:after="120"/>
        <w:jc w:val="both"/>
        <w:rPr>
          <w:rFonts w:eastAsia="SimSun"/>
          <w:sz w:val="22"/>
          <w:szCs w:val="22"/>
          <w:lang w:eastAsia="zh-CN"/>
        </w:rPr>
      </w:pPr>
      <w:r w:rsidRPr="00D338CD">
        <w:rPr>
          <w:rFonts w:eastAsia="SimSun"/>
          <w:lang w:eastAsia="zh-CN"/>
        </w:rPr>
        <w:t xml:space="preserve">P1: Baseline Group Vs after 3 months. </w:t>
      </w:r>
      <w:proofErr w:type="gramStart"/>
      <w:r>
        <w:rPr>
          <w:rFonts w:eastAsia="SimSun"/>
          <w:sz w:val="22"/>
          <w:szCs w:val="22"/>
          <w:lang w:eastAsia="zh-CN"/>
        </w:rPr>
        <w:t xml:space="preserve">/ </w:t>
      </w:r>
      <w:r>
        <w:rPr>
          <w:rFonts w:eastAsia="SimSun"/>
          <w:lang w:eastAsia="zh-CN"/>
        </w:rPr>
        <w:t xml:space="preserve"> </w:t>
      </w:r>
      <w:r w:rsidRPr="00D338CD">
        <w:rPr>
          <w:rFonts w:eastAsia="SimSun"/>
          <w:lang w:eastAsia="zh-CN"/>
        </w:rPr>
        <w:t>P2</w:t>
      </w:r>
      <w:proofErr w:type="gramEnd"/>
      <w:r w:rsidRPr="00D338CD">
        <w:rPr>
          <w:rFonts w:eastAsia="SimSun"/>
          <w:lang w:eastAsia="zh-CN"/>
        </w:rPr>
        <w:t>: Baseline Group Vs after 5 months.</w:t>
      </w:r>
      <w:r>
        <w:rPr>
          <w:rFonts w:eastAsia="SimSun"/>
          <w:lang w:eastAsia="zh-CN"/>
        </w:rPr>
        <w:t xml:space="preserve">/ </w:t>
      </w:r>
      <w:r w:rsidRPr="00D338CD">
        <w:rPr>
          <w:rFonts w:eastAsia="SimSun"/>
          <w:lang w:eastAsia="zh-CN"/>
        </w:rPr>
        <w:t>P3: After 3 month Group Vs after 5 months.</w:t>
      </w:r>
    </w:p>
    <w:p w:rsidR="00337820" w:rsidRPr="00BF6A60" w:rsidRDefault="00337820" w:rsidP="00337820">
      <w:pPr>
        <w:bidi w:val="0"/>
        <w:spacing w:before="240" w:line="420" w:lineRule="atLeast"/>
        <w:ind w:firstLine="284"/>
        <w:jc w:val="lowKashida"/>
        <w:rPr>
          <w:rFonts w:eastAsia="SimSun"/>
          <w:sz w:val="28"/>
          <w:szCs w:val="28"/>
          <w:lang w:eastAsia="zh-CN"/>
        </w:rPr>
      </w:pPr>
      <w:r>
        <w:rPr>
          <w:rFonts w:eastAsia="SimSun"/>
          <w:sz w:val="28"/>
          <w:szCs w:val="28"/>
          <w:lang w:eastAsia="zh-CN"/>
        </w:rPr>
        <w:t>Table (2) shows that t</w:t>
      </w:r>
      <w:r w:rsidRPr="00BF6A60">
        <w:rPr>
          <w:rFonts w:eastAsia="SimSun"/>
          <w:sz w:val="28"/>
          <w:szCs w:val="28"/>
          <w:lang w:eastAsia="zh-CN"/>
        </w:rPr>
        <w:t xml:space="preserve">he median levels of serotonin are not significantly different among baseline </w:t>
      </w:r>
      <w:r>
        <w:rPr>
          <w:rFonts w:eastAsia="SimSun"/>
          <w:sz w:val="28"/>
          <w:szCs w:val="28"/>
          <w:lang w:eastAsia="zh-CN"/>
        </w:rPr>
        <w:t>levels</w:t>
      </w:r>
      <w:r w:rsidRPr="00BF6A60">
        <w:rPr>
          <w:rFonts w:eastAsia="SimSun"/>
          <w:sz w:val="28"/>
          <w:szCs w:val="28"/>
          <w:lang w:eastAsia="zh-CN"/>
        </w:rPr>
        <w:t xml:space="preserve"> and after 3 </w:t>
      </w:r>
      <w:r>
        <w:rPr>
          <w:rFonts w:eastAsia="SimSun"/>
          <w:sz w:val="28"/>
          <w:szCs w:val="28"/>
          <w:lang w:eastAsia="zh-CN"/>
        </w:rPr>
        <w:t>-</w:t>
      </w:r>
      <w:r w:rsidRPr="00BF6A60">
        <w:rPr>
          <w:rFonts w:eastAsia="SimSun"/>
          <w:sz w:val="28"/>
          <w:szCs w:val="28"/>
          <w:lang w:eastAsia="zh-CN"/>
        </w:rPr>
        <w:t xml:space="preserve"> 5 months. However, there is a significant decrease </w:t>
      </w:r>
      <w:r w:rsidRPr="00BF6A60">
        <w:rPr>
          <w:rFonts w:eastAsia="SimSun"/>
          <w:sz w:val="28"/>
          <w:szCs w:val="28"/>
          <w:lang w:eastAsia="zh-CN"/>
        </w:rPr>
        <w:lastRenderedPageBreak/>
        <w:t>in the median serotonin levels after 5 months in comparison to the group after 3 months; reaching almost t</w:t>
      </w:r>
      <w:r>
        <w:rPr>
          <w:rFonts w:eastAsia="SimSun"/>
          <w:sz w:val="28"/>
          <w:szCs w:val="28"/>
          <w:lang w:eastAsia="zh-CN"/>
        </w:rPr>
        <w:t>o the baseline levels (P&lt;0.023).</w:t>
      </w:r>
    </w:p>
    <w:p w:rsidR="00337820" w:rsidRPr="00D338CD" w:rsidRDefault="00337820" w:rsidP="00337820">
      <w:pPr>
        <w:bidi w:val="0"/>
        <w:spacing w:before="240" w:after="120"/>
        <w:jc w:val="both"/>
        <w:rPr>
          <w:rFonts w:eastAsia="SimSun"/>
          <w:sz w:val="22"/>
          <w:szCs w:val="22"/>
          <w:lang w:eastAsia="zh-CN"/>
        </w:rPr>
      </w:pPr>
    </w:p>
    <w:p w:rsidR="000A3F37" w:rsidRPr="00B576A4" w:rsidRDefault="000A3F37" w:rsidP="000A3F37">
      <w:pPr>
        <w:bidi w:val="0"/>
        <w:spacing w:before="240"/>
        <w:ind w:left="357"/>
        <w:jc w:val="center"/>
        <w:rPr>
          <w:rFonts w:eastAsia="SimSun"/>
          <w:b/>
          <w:bCs/>
          <w:sz w:val="22"/>
          <w:szCs w:val="22"/>
          <w:lang w:eastAsia="zh-CN"/>
        </w:rPr>
      </w:pPr>
      <w:proofErr w:type="gramStart"/>
      <w:r w:rsidRPr="00B576A4">
        <w:rPr>
          <w:rFonts w:eastAsia="SimSun"/>
          <w:b/>
          <w:bCs/>
          <w:lang w:eastAsia="zh-CN"/>
        </w:rPr>
        <w:t>T</w:t>
      </w:r>
      <w:r w:rsidRPr="00B576A4">
        <w:rPr>
          <w:rFonts w:eastAsia="SimSun"/>
          <w:b/>
          <w:bCs/>
          <w:lang w:eastAsia="zh-CN" w:bidi="ar-EG"/>
        </w:rPr>
        <w:t>able (2): Median values of Serotonin in different stages of follow up at 3 and5 months after starting AED therapy in Idiopathic Epileptic Patients.</w:t>
      </w:r>
      <w:proofErr w:type="gramEnd"/>
    </w:p>
    <w:tbl>
      <w:tblPr>
        <w:tblW w:w="5098" w:type="pct"/>
        <w:jc w:val="center"/>
        <w:tblLook w:val="0000"/>
      </w:tblPr>
      <w:tblGrid>
        <w:gridCol w:w="1270"/>
        <w:gridCol w:w="768"/>
        <w:gridCol w:w="362"/>
        <w:gridCol w:w="981"/>
        <w:gridCol w:w="989"/>
        <w:gridCol w:w="2358"/>
        <w:gridCol w:w="1838"/>
        <w:gridCol w:w="1591"/>
      </w:tblGrid>
      <w:tr w:rsidR="000A3F37" w:rsidRPr="00BF6A60" w:rsidTr="00807206">
        <w:trPr>
          <w:cantSplit/>
          <w:jc w:val="center"/>
        </w:trPr>
        <w:tc>
          <w:tcPr>
            <w:tcW w:w="625" w:type="pct"/>
            <w:vMerge w:val="restart"/>
            <w:tcBorders>
              <w:top w:val="double" w:sz="4" w:space="0" w:color="auto"/>
              <w:left w:val="double" w:sz="4" w:space="0" w:color="auto"/>
              <w:bottom w:val="double" w:sz="4" w:space="0" w:color="auto"/>
              <w:right w:val="doub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p>
        </w:tc>
        <w:tc>
          <w:tcPr>
            <w:tcW w:w="2687" w:type="pct"/>
            <w:gridSpan w:val="5"/>
            <w:tcBorders>
              <w:top w:val="double" w:sz="4" w:space="0" w:color="auto"/>
              <w:left w:val="double" w:sz="4" w:space="0" w:color="auto"/>
              <w:bottom w:val="double" w:sz="4" w:space="0" w:color="auto"/>
              <w:right w:val="double" w:sz="4" w:space="0" w:color="auto"/>
            </w:tcBorders>
            <w:shd w:val="clear" w:color="auto" w:fill="FBD4B4"/>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serotonin ng/ml</w:t>
            </w:r>
          </w:p>
        </w:tc>
        <w:tc>
          <w:tcPr>
            <w:tcW w:w="1688" w:type="pct"/>
            <w:gridSpan w:val="2"/>
            <w:tcBorders>
              <w:top w:val="double" w:sz="4" w:space="0" w:color="auto"/>
              <w:left w:val="double" w:sz="4" w:space="0" w:color="auto"/>
              <w:bottom w:val="double" w:sz="4" w:space="0" w:color="auto"/>
              <w:right w:val="doub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Wilcoxon Signed Ranks Test</w:t>
            </w:r>
          </w:p>
        </w:tc>
      </w:tr>
      <w:tr w:rsidR="000A3F37" w:rsidRPr="00BF6A60" w:rsidTr="00807206">
        <w:trPr>
          <w:cantSplit/>
          <w:trHeight w:val="647"/>
          <w:jc w:val="center"/>
        </w:trPr>
        <w:tc>
          <w:tcPr>
            <w:tcW w:w="625" w:type="pct"/>
            <w:vMerge/>
            <w:tcBorders>
              <w:top w:val="single" w:sz="4" w:space="0" w:color="auto"/>
              <w:left w:val="double" w:sz="4" w:space="0" w:color="auto"/>
              <w:bottom w:val="double" w:sz="4" w:space="0" w:color="auto"/>
              <w:right w:val="double" w:sz="4" w:space="0" w:color="auto"/>
            </w:tcBorders>
            <w:shd w:val="clear" w:color="auto" w:fill="auto"/>
            <w:vAlign w:val="center"/>
          </w:tcPr>
          <w:p w:rsidR="000A3F37" w:rsidRPr="00BF6A60" w:rsidRDefault="000A3F37" w:rsidP="00807206">
            <w:pPr>
              <w:bidi w:val="0"/>
              <w:spacing w:before="80" w:after="80"/>
              <w:rPr>
                <w:rFonts w:eastAsia="SimSun"/>
                <w:b/>
                <w:bCs/>
                <w:sz w:val="20"/>
                <w:szCs w:val="20"/>
                <w:lang w:eastAsia="zh-CN"/>
              </w:rPr>
            </w:pPr>
          </w:p>
        </w:tc>
        <w:tc>
          <w:tcPr>
            <w:tcW w:w="1039" w:type="pct"/>
            <w:gridSpan w:val="3"/>
            <w:tcBorders>
              <w:top w:val="double" w:sz="4" w:space="0" w:color="auto"/>
              <w:left w:val="double" w:sz="4" w:space="0" w:color="auto"/>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Range</w:t>
            </w:r>
          </w:p>
        </w:tc>
        <w:tc>
          <w:tcPr>
            <w:tcW w:w="487" w:type="pct"/>
            <w:tcBorders>
              <w:top w:val="double" w:sz="4" w:space="0" w:color="auto"/>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Median</w:t>
            </w:r>
          </w:p>
        </w:tc>
        <w:tc>
          <w:tcPr>
            <w:tcW w:w="1161" w:type="pct"/>
            <w:tcBorders>
              <w:top w:val="double" w:sz="4" w:space="0" w:color="auto"/>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Interquartile Range</w:t>
            </w:r>
          </w:p>
        </w:tc>
        <w:tc>
          <w:tcPr>
            <w:tcW w:w="905" w:type="pct"/>
            <w:tcBorders>
              <w:top w:val="double" w:sz="4" w:space="0" w:color="auto"/>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Z</w:t>
            </w:r>
          </w:p>
        </w:tc>
        <w:tc>
          <w:tcPr>
            <w:tcW w:w="783" w:type="pct"/>
            <w:tcBorders>
              <w:top w:val="double" w:sz="4" w:space="0" w:color="auto"/>
              <w:left w:val="nil"/>
              <w:bottom w:val="single" w:sz="4" w:space="0" w:color="auto"/>
              <w:right w:val="doub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P-value</w:t>
            </w:r>
          </w:p>
        </w:tc>
      </w:tr>
      <w:tr w:rsidR="000A3F37" w:rsidRPr="00BF6A60" w:rsidTr="00807206">
        <w:trPr>
          <w:cantSplit/>
          <w:jc w:val="center"/>
        </w:trPr>
        <w:tc>
          <w:tcPr>
            <w:tcW w:w="625" w:type="pct"/>
            <w:tcBorders>
              <w:top w:val="double" w:sz="4" w:space="0" w:color="auto"/>
              <w:left w:val="double" w:sz="4" w:space="0" w:color="auto"/>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 xml:space="preserve">Baseline </w:t>
            </w:r>
          </w:p>
        </w:tc>
        <w:tc>
          <w:tcPr>
            <w:tcW w:w="378" w:type="pct"/>
            <w:tcBorders>
              <w:top w:val="nil"/>
              <w:left w:val="nil"/>
              <w:bottom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1.000</w:t>
            </w:r>
          </w:p>
        </w:tc>
        <w:tc>
          <w:tcPr>
            <w:tcW w:w="178" w:type="pct"/>
            <w:tcBorders>
              <w:top w:val="nil"/>
              <w:left w:val="nil"/>
              <w:bottom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w:t>
            </w:r>
          </w:p>
        </w:tc>
        <w:tc>
          <w:tcPr>
            <w:tcW w:w="483" w:type="pct"/>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100.000</w:t>
            </w:r>
          </w:p>
        </w:tc>
        <w:tc>
          <w:tcPr>
            <w:tcW w:w="487" w:type="pct"/>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41.500</w:t>
            </w:r>
          </w:p>
        </w:tc>
        <w:tc>
          <w:tcPr>
            <w:tcW w:w="1161" w:type="pct"/>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sz w:val="20"/>
                <w:szCs w:val="20"/>
                <w:lang w:eastAsia="zh-CN"/>
              </w:rPr>
              <w:t>60.475</w:t>
            </w:r>
          </w:p>
        </w:tc>
        <w:tc>
          <w:tcPr>
            <w:tcW w:w="905" w:type="pct"/>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-1.687</w:t>
            </w:r>
          </w:p>
        </w:tc>
        <w:tc>
          <w:tcPr>
            <w:tcW w:w="783" w:type="pct"/>
            <w:tcBorders>
              <w:top w:val="nil"/>
              <w:left w:val="nil"/>
              <w:bottom w:val="single" w:sz="4" w:space="0" w:color="auto"/>
              <w:right w:val="doub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0.092</w:t>
            </w:r>
            <w:r w:rsidRPr="00BF6A60">
              <w:rPr>
                <w:rFonts w:eastAsia="SimSun"/>
                <w:b/>
                <w:bCs/>
                <w:sz w:val="20"/>
                <w:szCs w:val="20"/>
                <w:lang w:eastAsia="zh-CN"/>
              </w:rPr>
              <w:t xml:space="preserve"> P1</w:t>
            </w:r>
          </w:p>
        </w:tc>
      </w:tr>
      <w:tr w:rsidR="000A3F37" w:rsidRPr="00BF6A60" w:rsidTr="00807206">
        <w:trPr>
          <w:cantSplit/>
          <w:jc w:val="center"/>
        </w:trPr>
        <w:tc>
          <w:tcPr>
            <w:tcW w:w="625" w:type="pct"/>
            <w:tcBorders>
              <w:top w:val="nil"/>
              <w:left w:val="double" w:sz="4" w:space="0" w:color="auto"/>
              <w:bottom w:val="single" w:sz="4" w:space="0" w:color="auto"/>
              <w:right w:val="single" w:sz="4" w:space="0" w:color="auto"/>
            </w:tcBorders>
            <w:shd w:val="clear" w:color="auto" w:fill="auto"/>
            <w:noWrap/>
          </w:tcPr>
          <w:p w:rsidR="000A3F37" w:rsidRPr="00BF6A60" w:rsidRDefault="000A3F37" w:rsidP="00807206">
            <w:pPr>
              <w:bidi w:val="0"/>
              <w:spacing w:before="80" w:after="80"/>
              <w:jc w:val="center"/>
              <w:rPr>
                <w:rFonts w:eastAsia="SimSun"/>
                <w:sz w:val="20"/>
                <w:szCs w:val="20"/>
                <w:lang w:eastAsia="zh-CN"/>
              </w:rPr>
            </w:pPr>
            <w:r w:rsidRPr="00BF6A60">
              <w:rPr>
                <w:rFonts w:eastAsia="SimSun"/>
                <w:b/>
                <w:bCs/>
                <w:sz w:val="20"/>
                <w:szCs w:val="20"/>
                <w:lang w:eastAsia="zh-CN"/>
              </w:rPr>
              <w:t>After 3m.</w:t>
            </w:r>
          </w:p>
        </w:tc>
        <w:tc>
          <w:tcPr>
            <w:tcW w:w="378" w:type="pct"/>
            <w:tcBorders>
              <w:top w:val="nil"/>
              <w:left w:val="nil"/>
              <w:bottom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0.500</w:t>
            </w:r>
          </w:p>
        </w:tc>
        <w:tc>
          <w:tcPr>
            <w:tcW w:w="178" w:type="pct"/>
            <w:tcBorders>
              <w:top w:val="nil"/>
              <w:left w:val="nil"/>
              <w:bottom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w:t>
            </w:r>
          </w:p>
        </w:tc>
        <w:tc>
          <w:tcPr>
            <w:tcW w:w="483" w:type="pct"/>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100.000</w:t>
            </w:r>
          </w:p>
        </w:tc>
        <w:tc>
          <w:tcPr>
            <w:tcW w:w="487" w:type="pct"/>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65.000</w:t>
            </w:r>
          </w:p>
        </w:tc>
        <w:tc>
          <w:tcPr>
            <w:tcW w:w="1161" w:type="pct"/>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sz w:val="20"/>
                <w:szCs w:val="20"/>
                <w:lang w:eastAsia="zh-CN"/>
              </w:rPr>
              <w:t>56.750</w:t>
            </w:r>
          </w:p>
        </w:tc>
        <w:tc>
          <w:tcPr>
            <w:tcW w:w="905" w:type="pct"/>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-0.156</w:t>
            </w:r>
          </w:p>
        </w:tc>
        <w:tc>
          <w:tcPr>
            <w:tcW w:w="783" w:type="pct"/>
            <w:tcBorders>
              <w:top w:val="nil"/>
              <w:left w:val="nil"/>
              <w:bottom w:val="single" w:sz="4" w:space="0" w:color="auto"/>
              <w:right w:val="doub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0.876</w:t>
            </w:r>
            <w:r w:rsidRPr="00BF6A60">
              <w:rPr>
                <w:rFonts w:eastAsia="SimSun"/>
                <w:b/>
                <w:bCs/>
                <w:sz w:val="20"/>
                <w:szCs w:val="20"/>
                <w:lang w:eastAsia="zh-CN"/>
              </w:rPr>
              <w:t xml:space="preserve"> P2</w:t>
            </w:r>
          </w:p>
        </w:tc>
      </w:tr>
      <w:tr w:rsidR="000A3F37" w:rsidRPr="00BF6A60" w:rsidTr="00807206">
        <w:trPr>
          <w:cantSplit/>
          <w:jc w:val="center"/>
        </w:trPr>
        <w:tc>
          <w:tcPr>
            <w:tcW w:w="625" w:type="pct"/>
            <w:tcBorders>
              <w:top w:val="nil"/>
              <w:left w:val="double" w:sz="4" w:space="0" w:color="auto"/>
              <w:bottom w:val="double" w:sz="4" w:space="0" w:color="auto"/>
              <w:right w:val="single" w:sz="4" w:space="0" w:color="auto"/>
            </w:tcBorders>
            <w:shd w:val="clear" w:color="auto" w:fill="auto"/>
            <w:noWrap/>
          </w:tcPr>
          <w:p w:rsidR="000A3F37" w:rsidRPr="00BF6A60" w:rsidRDefault="000A3F37" w:rsidP="00807206">
            <w:pPr>
              <w:bidi w:val="0"/>
              <w:spacing w:before="80" w:after="80"/>
              <w:jc w:val="center"/>
              <w:rPr>
                <w:rFonts w:eastAsia="SimSun"/>
                <w:sz w:val="20"/>
                <w:szCs w:val="20"/>
                <w:lang w:eastAsia="zh-CN"/>
              </w:rPr>
            </w:pPr>
            <w:r w:rsidRPr="00BF6A60">
              <w:rPr>
                <w:rFonts w:eastAsia="SimSun"/>
                <w:b/>
                <w:bCs/>
                <w:sz w:val="20"/>
                <w:szCs w:val="20"/>
                <w:lang w:eastAsia="zh-CN"/>
              </w:rPr>
              <w:t>After 12m.</w:t>
            </w:r>
          </w:p>
        </w:tc>
        <w:tc>
          <w:tcPr>
            <w:tcW w:w="378" w:type="pct"/>
            <w:tcBorders>
              <w:top w:val="nil"/>
              <w:left w:val="nil"/>
              <w:bottom w:val="doub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2.500</w:t>
            </w:r>
          </w:p>
        </w:tc>
        <w:tc>
          <w:tcPr>
            <w:tcW w:w="178" w:type="pct"/>
            <w:tcBorders>
              <w:top w:val="nil"/>
              <w:left w:val="nil"/>
              <w:bottom w:val="doub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w:t>
            </w:r>
          </w:p>
        </w:tc>
        <w:tc>
          <w:tcPr>
            <w:tcW w:w="483" w:type="pct"/>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95.000</w:t>
            </w:r>
          </w:p>
        </w:tc>
        <w:tc>
          <w:tcPr>
            <w:tcW w:w="487" w:type="pct"/>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44.000</w:t>
            </w:r>
          </w:p>
        </w:tc>
        <w:tc>
          <w:tcPr>
            <w:tcW w:w="1161" w:type="pct"/>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sz w:val="20"/>
                <w:szCs w:val="20"/>
                <w:lang w:eastAsia="zh-CN"/>
              </w:rPr>
              <w:t>49.500</w:t>
            </w:r>
          </w:p>
        </w:tc>
        <w:tc>
          <w:tcPr>
            <w:tcW w:w="905" w:type="pct"/>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sz w:val="20"/>
                <w:szCs w:val="20"/>
                <w:lang w:eastAsia="zh-CN"/>
              </w:rPr>
            </w:pPr>
            <w:r w:rsidRPr="00BF6A60">
              <w:rPr>
                <w:rFonts w:eastAsia="SimSun"/>
                <w:sz w:val="20"/>
                <w:szCs w:val="20"/>
                <w:lang w:eastAsia="zh-CN"/>
              </w:rPr>
              <w:t>-2.276</w:t>
            </w:r>
          </w:p>
        </w:tc>
        <w:tc>
          <w:tcPr>
            <w:tcW w:w="783" w:type="pct"/>
            <w:tcBorders>
              <w:top w:val="nil"/>
              <w:left w:val="nil"/>
              <w:bottom w:val="double" w:sz="4" w:space="0" w:color="auto"/>
              <w:right w:val="double" w:sz="4" w:space="0" w:color="auto"/>
            </w:tcBorders>
            <w:shd w:val="clear" w:color="auto" w:fill="auto"/>
            <w:noWrap/>
            <w:vAlign w:val="center"/>
          </w:tcPr>
          <w:p w:rsidR="000A3F37" w:rsidRPr="00BF6A60" w:rsidRDefault="000A3F37" w:rsidP="00807206">
            <w:pPr>
              <w:bidi w:val="0"/>
              <w:spacing w:before="80" w:after="80"/>
              <w:jc w:val="center"/>
              <w:rPr>
                <w:rFonts w:eastAsia="SimSun"/>
                <w:color w:val="FF0000"/>
                <w:sz w:val="20"/>
                <w:szCs w:val="20"/>
                <w:lang w:eastAsia="zh-CN"/>
              </w:rPr>
            </w:pPr>
            <w:r w:rsidRPr="00BF6A60">
              <w:rPr>
                <w:rFonts w:eastAsia="SimSun"/>
                <w:color w:val="FF0000"/>
                <w:sz w:val="20"/>
                <w:szCs w:val="20"/>
                <w:lang w:eastAsia="zh-CN"/>
              </w:rPr>
              <w:t>0.023*</w:t>
            </w:r>
            <w:r w:rsidRPr="00BF6A60">
              <w:rPr>
                <w:rFonts w:eastAsia="SimSun"/>
                <w:b/>
                <w:bCs/>
                <w:sz w:val="20"/>
                <w:szCs w:val="20"/>
                <w:lang w:eastAsia="zh-CN"/>
              </w:rPr>
              <w:t xml:space="preserve"> P3</w:t>
            </w:r>
          </w:p>
        </w:tc>
      </w:tr>
    </w:tbl>
    <w:p w:rsidR="000A3F37" w:rsidRPr="00BF6A60" w:rsidRDefault="000A3F37" w:rsidP="000A3F37">
      <w:pPr>
        <w:bidi w:val="0"/>
        <w:spacing w:before="240"/>
        <w:rPr>
          <w:rFonts w:eastAsia="SimSun"/>
          <w:sz w:val="28"/>
          <w:szCs w:val="28"/>
          <w:lang w:eastAsia="zh-CN"/>
        </w:rPr>
      </w:pPr>
      <w:r w:rsidRPr="00DE5792">
        <w:rPr>
          <w:rFonts w:eastAsia="SimSun"/>
          <w:lang w:eastAsia="zh-CN"/>
        </w:rPr>
        <w:t>P1: Baseline Group Vs after 3 months</w:t>
      </w:r>
      <w:proofErr w:type="gramStart"/>
      <w:r w:rsidRPr="00DE5792">
        <w:rPr>
          <w:rFonts w:eastAsia="SimSun"/>
          <w:lang w:eastAsia="zh-CN"/>
        </w:rPr>
        <w:t>.</w:t>
      </w:r>
      <w:r>
        <w:rPr>
          <w:rFonts w:eastAsia="SimSun"/>
          <w:lang w:eastAsia="zh-CN"/>
        </w:rPr>
        <w:t>/</w:t>
      </w:r>
      <w:proofErr w:type="gramEnd"/>
      <w:r>
        <w:rPr>
          <w:rFonts w:eastAsia="SimSun"/>
          <w:lang w:eastAsia="zh-CN"/>
        </w:rPr>
        <w:t xml:space="preserve"> </w:t>
      </w:r>
      <w:r w:rsidRPr="00DE5792">
        <w:rPr>
          <w:rFonts w:eastAsia="SimSun"/>
          <w:lang w:eastAsia="zh-CN"/>
        </w:rPr>
        <w:t>P2:Baseline Group Vs after 5 months.</w:t>
      </w:r>
      <w:r>
        <w:rPr>
          <w:rFonts w:eastAsia="SimSun"/>
          <w:lang w:eastAsia="zh-CN"/>
        </w:rPr>
        <w:t>/</w:t>
      </w:r>
      <w:r w:rsidRPr="00DE5792">
        <w:rPr>
          <w:rFonts w:eastAsia="SimSun"/>
          <w:lang w:eastAsia="zh-CN"/>
        </w:rPr>
        <w:t>P3: After 3 month Group Vs after 5 months</w:t>
      </w:r>
    </w:p>
    <w:p w:rsidR="00A06E81" w:rsidRDefault="00A06E81" w:rsidP="000A3F37">
      <w:pPr>
        <w:bidi w:val="0"/>
        <w:spacing w:after="120"/>
        <w:ind w:left="1440" w:hanging="1440"/>
        <w:jc w:val="center"/>
        <w:rPr>
          <w:rFonts w:eastAsia="SimSun"/>
          <w:b/>
          <w:bCs/>
          <w:lang w:eastAsia="zh-CN"/>
        </w:rPr>
      </w:pPr>
    </w:p>
    <w:p w:rsidR="00A06E81" w:rsidRDefault="00A06E81" w:rsidP="00A06E81">
      <w:pPr>
        <w:bidi w:val="0"/>
        <w:spacing w:after="120"/>
        <w:ind w:left="1440" w:hanging="1440"/>
        <w:jc w:val="center"/>
        <w:rPr>
          <w:rFonts w:eastAsia="SimSun"/>
          <w:b/>
          <w:bCs/>
          <w:lang w:eastAsia="zh-CN"/>
        </w:rPr>
      </w:pPr>
    </w:p>
    <w:p w:rsidR="00A06E81" w:rsidRPr="00337820" w:rsidRDefault="00337820" w:rsidP="00337820">
      <w:pPr>
        <w:bidi w:val="0"/>
        <w:spacing w:after="120"/>
        <w:ind w:left="284" w:hanging="284"/>
        <w:jc w:val="lowKashida"/>
        <w:rPr>
          <w:rFonts w:eastAsia="SimSun"/>
          <w:lang w:eastAsia="zh-CN"/>
        </w:rPr>
      </w:pPr>
      <w:r>
        <w:rPr>
          <w:rFonts w:eastAsia="SimSun"/>
          <w:sz w:val="28"/>
          <w:szCs w:val="28"/>
          <w:lang w:eastAsia="zh-CN"/>
        </w:rPr>
        <w:t>Table (3) shows that s</w:t>
      </w:r>
      <w:r w:rsidRPr="00BF6A60">
        <w:rPr>
          <w:rFonts w:eastAsia="SimSun"/>
          <w:sz w:val="28"/>
          <w:szCs w:val="28"/>
          <w:lang w:eastAsia="zh-CN"/>
        </w:rPr>
        <w:t xml:space="preserve">erum serotonin median levels are generally increased after the use of AEDs especially after 5 months from the base line, with further significant increase in </w:t>
      </w:r>
      <w:proofErr w:type="spellStart"/>
      <w:r w:rsidRPr="00BF6A60">
        <w:rPr>
          <w:rFonts w:eastAsia="SimSun"/>
          <w:sz w:val="28"/>
          <w:szCs w:val="28"/>
          <w:lang w:eastAsia="zh-CN"/>
        </w:rPr>
        <w:t>levetiracetam</w:t>
      </w:r>
      <w:proofErr w:type="spellEnd"/>
      <w:r w:rsidRPr="00BF6A60">
        <w:rPr>
          <w:rFonts w:eastAsia="SimSun"/>
          <w:sz w:val="28"/>
          <w:szCs w:val="28"/>
          <w:lang w:eastAsia="zh-CN"/>
        </w:rPr>
        <w:t xml:space="preserve"> group (P</w:t>
      </w:r>
      <w:r>
        <w:rPr>
          <w:rFonts w:eastAsia="SimSun"/>
          <w:sz w:val="28"/>
          <w:szCs w:val="28"/>
          <w:lang w:eastAsia="zh-CN"/>
        </w:rPr>
        <w:t>=</w:t>
      </w:r>
      <w:r w:rsidRPr="00BF6A60">
        <w:rPr>
          <w:rFonts w:eastAsia="SimSun"/>
          <w:sz w:val="28"/>
          <w:szCs w:val="28"/>
          <w:lang w:eastAsia="zh-CN"/>
        </w:rPr>
        <w:t>0.036).</w:t>
      </w:r>
    </w:p>
    <w:p w:rsidR="00A06E81" w:rsidRDefault="00A06E81" w:rsidP="00A06E81">
      <w:pPr>
        <w:bidi w:val="0"/>
        <w:spacing w:after="120"/>
        <w:ind w:left="1440" w:hanging="1440"/>
        <w:jc w:val="center"/>
        <w:rPr>
          <w:rFonts w:eastAsia="SimSun"/>
          <w:b/>
          <w:bCs/>
          <w:lang w:eastAsia="zh-CN"/>
        </w:rPr>
      </w:pPr>
    </w:p>
    <w:p w:rsidR="000A3F37" w:rsidRPr="00DE5792" w:rsidRDefault="000A3F37" w:rsidP="00A06E81">
      <w:pPr>
        <w:bidi w:val="0"/>
        <w:spacing w:after="120"/>
        <w:ind w:left="1440" w:hanging="1440"/>
        <w:jc w:val="center"/>
        <w:rPr>
          <w:rFonts w:eastAsia="SimSun"/>
          <w:sz w:val="22"/>
          <w:szCs w:val="22"/>
          <w:lang w:eastAsia="zh-CN"/>
        </w:rPr>
      </w:pPr>
      <w:proofErr w:type="gramStart"/>
      <w:r w:rsidRPr="00DE5792">
        <w:rPr>
          <w:rFonts w:eastAsia="SimSun"/>
          <w:b/>
          <w:bCs/>
          <w:lang w:eastAsia="zh-CN"/>
        </w:rPr>
        <w:t>Table (3):</w:t>
      </w:r>
      <w:r w:rsidRPr="00DE5792">
        <w:rPr>
          <w:rFonts w:eastAsia="SimSun"/>
          <w:b/>
          <w:bCs/>
          <w:lang w:eastAsia="zh-CN" w:bidi="ar-EG"/>
        </w:rPr>
        <w:t xml:space="preserve"> Median values of Serotonin with different types of AEDs at 3 and 5 months after starting AED therapy in Idiopathic Epileptics</w:t>
      </w:r>
      <w:r w:rsidRPr="00DE5792">
        <w:rPr>
          <w:rFonts w:eastAsia="SimSun"/>
          <w:lang w:eastAsia="zh-CN" w:bidi="ar-EG"/>
        </w:rPr>
        <w:t>.</w:t>
      </w:r>
      <w:proofErr w:type="gramEnd"/>
    </w:p>
    <w:tbl>
      <w:tblPr>
        <w:tblW w:w="9502" w:type="dxa"/>
        <w:jc w:val="center"/>
        <w:tblInd w:w="-1355" w:type="dxa"/>
        <w:tblLayout w:type="fixed"/>
        <w:tblLook w:val="0000"/>
      </w:tblPr>
      <w:tblGrid>
        <w:gridCol w:w="1281"/>
        <w:gridCol w:w="992"/>
        <w:gridCol w:w="709"/>
        <w:gridCol w:w="425"/>
        <w:gridCol w:w="850"/>
        <w:gridCol w:w="993"/>
        <w:gridCol w:w="1970"/>
        <w:gridCol w:w="828"/>
        <w:gridCol w:w="1454"/>
      </w:tblGrid>
      <w:tr w:rsidR="000A3F37" w:rsidRPr="00BF6A60" w:rsidTr="00807206">
        <w:trPr>
          <w:cantSplit/>
          <w:jc w:val="center"/>
        </w:trPr>
        <w:tc>
          <w:tcPr>
            <w:tcW w:w="2273" w:type="dxa"/>
            <w:gridSpan w:val="2"/>
            <w:vMerge w:val="restart"/>
            <w:tcBorders>
              <w:top w:val="double" w:sz="4" w:space="0" w:color="auto"/>
              <w:left w:val="double" w:sz="4" w:space="0" w:color="auto"/>
              <w:bottom w:val="double" w:sz="4" w:space="0" w:color="auto"/>
              <w:right w:val="double" w:sz="4" w:space="0" w:color="auto"/>
            </w:tcBorders>
            <w:shd w:val="clear" w:color="auto" w:fill="FBD4B4"/>
            <w:noWrap/>
            <w:vAlign w:val="center"/>
          </w:tcPr>
          <w:p w:rsidR="000A3F37" w:rsidRPr="00BF6A60" w:rsidRDefault="000A3F37" w:rsidP="00807206">
            <w:pPr>
              <w:bidi w:val="0"/>
              <w:spacing w:before="80" w:after="80"/>
              <w:jc w:val="center"/>
              <w:rPr>
                <w:rFonts w:ascii="Arial" w:eastAsia="SimSun" w:hAnsi="Arial" w:cs="Arial"/>
                <w:b/>
                <w:bCs/>
                <w:sz w:val="20"/>
                <w:szCs w:val="20"/>
                <w:lang w:eastAsia="zh-CN"/>
              </w:rPr>
            </w:pPr>
            <w:r w:rsidRPr="00BF6A60">
              <w:rPr>
                <w:rFonts w:ascii="Arial" w:eastAsia="SimSun" w:hAnsi="Arial" w:cs="Arial"/>
                <w:b/>
                <w:bCs/>
                <w:sz w:val="20"/>
                <w:szCs w:val="20"/>
                <w:lang w:eastAsia="zh-CN"/>
              </w:rPr>
              <w:t xml:space="preserve">Drugs </w:t>
            </w:r>
          </w:p>
        </w:tc>
        <w:tc>
          <w:tcPr>
            <w:tcW w:w="4947" w:type="dxa"/>
            <w:gridSpan w:val="5"/>
            <w:tcBorders>
              <w:top w:val="double" w:sz="4" w:space="0" w:color="auto"/>
              <w:left w:val="double" w:sz="4" w:space="0" w:color="auto"/>
              <w:bottom w:val="double" w:sz="4" w:space="0" w:color="auto"/>
              <w:right w:val="double" w:sz="4" w:space="0" w:color="auto"/>
            </w:tcBorders>
            <w:shd w:val="clear" w:color="auto" w:fill="FBD4B4"/>
            <w:noWrap/>
            <w:vAlign w:val="center"/>
          </w:tcPr>
          <w:p w:rsidR="000A3F37" w:rsidRPr="00BF6A60" w:rsidRDefault="000A3F37" w:rsidP="00807206">
            <w:pPr>
              <w:bidi w:val="0"/>
              <w:spacing w:before="80" w:after="80"/>
              <w:jc w:val="center"/>
              <w:rPr>
                <w:rFonts w:ascii="Arial" w:eastAsia="SimSun" w:hAnsi="Arial" w:cs="Arial"/>
                <w:b/>
                <w:bCs/>
                <w:sz w:val="20"/>
                <w:szCs w:val="20"/>
                <w:lang w:eastAsia="zh-CN"/>
              </w:rPr>
            </w:pPr>
            <w:r w:rsidRPr="00BF6A60">
              <w:rPr>
                <w:rFonts w:ascii="Arial" w:eastAsia="SimSun" w:hAnsi="Arial" w:cs="Arial"/>
                <w:b/>
                <w:bCs/>
                <w:sz w:val="20"/>
                <w:szCs w:val="20"/>
                <w:lang w:eastAsia="zh-CN"/>
              </w:rPr>
              <w:t>Serotonin ng/ml</w:t>
            </w:r>
          </w:p>
        </w:tc>
        <w:tc>
          <w:tcPr>
            <w:tcW w:w="2282" w:type="dxa"/>
            <w:gridSpan w:val="2"/>
            <w:tcBorders>
              <w:top w:val="double" w:sz="4" w:space="0" w:color="auto"/>
              <w:left w:val="double" w:sz="4" w:space="0" w:color="auto"/>
              <w:bottom w:val="single" w:sz="4" w:space="0" w:color="auto"/>
              <w:right w:val="doub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b/>
                <w:bCs/>
                <w:sz w:val="20"/>
                <w:szCs w:val="20"/>
                <w:lang w:eastAsia="zh-CN"/>
              </w:rPr>
            </w:pPr>
            <w:r w:rsidRPr="00BF6A60">
              <w:rPr>
                <w:rFonts w:ascii="Arial" w:eastAsia="SimSun" w:hAnsi="Arial" w:cs="Arial"/>
                <w:b/>
                <w:bCs/>
                <w:sz w:val="20"/>
                <w:szCs w:val="20"/>
                <w:lang w:eastAsia="zh-CN"/>
              </w:rPr>
              <w:t>Kruskal-Wallis Test</w:t>
            </w:r>
          </w:p>
        </w:tc>
      </w:tr>
      <w:tr w:rsidR="000A3F37" w:rsidRPr="00BF6A60" w:rsidTr="00807206">
        <w:trPr>
          <w:cantSplit/>
          <w:jc w:val="center"/>
        </w:trPr>
        <w:tc>
          <w:tcPr>
            <w:tcW w:w="2273" w:type="dxa"/>
            <w:gridSpan w:val="2"/>
            <w:vMerge/>
            <w:tcBorders>
              <w:top w:val="single" w:sz="4" w:space="0" w:color="000000"/>
              <w:left w:val="double" w:sz="4" w:space="0" w:color="auto"/>
              <w:bottom w:val="double" w:sz="4" w:space="0" w:color="auto"/>
              <w:right w:val="double" w:sz="4" w:space="0" w:color="auto"/>
            </w:tcBorders>
            <w:shd w:val="clear" w:color="auto" w:fill="FBD4B4"/>
            <w:vAlign w:val="center"/>
          </w:tcPr>
          <w:p w:rsidR="000A3F37" w:rsidRPr="00BF6A60" w:rsidRDefault="000A3F37" w:rsidP="00807206">
            <w:pPr>
              <w:bidi w:val="0"/>
              <w:spacing w:before="80" w:after="80"/>
              <w:rPr>
                <w:rFonts w:ascii="Arial" w:eastAsia="SimSun" w:hAnsi="Arial" w:cs="Arial"/>
                <w:b/>
                <w:bCs/>
                <w:sz w:val="20"/>
                <w:szCs w:val="20"/>
                <w:lang w:eastAsia="zh-CN"/>
              </w:rPr>
            </w:pPr>
          </w:p>
        </w:tc>
        <w:tc>
          <w:tcPr>
            <w:tcW w:w="1984" w:type="dxa"/>
            <w:gridSpan w:val="3"/>
            <w:tcBorders>
              <w:top w:val="double" w:sz="4" w:space="0" w:color="auto"/>
              <w:left w:val="double" w:sz="4" w:space="0" w:color="auto"/>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lang w:eastAsia="zh-CN"/>
              </w:rPr>
            </w:pPr>
            <w:r w:rsidRPr="00BF6A60">
              <w:rPr>
                <w:rFonts w:eastAsia="SimSun"/>
                <w:b/>
                <w:bCs/>
                <w:lang w:eastAsia="zh-CN"/>
              </w:rPr>
              <w:t>Range</w:t>
            </w:r>
          </w:p>
        </w:tc>
        <w:tc>
          <w:tcPr>
            <w:tcW w:w="993" w:type="dxa"/>
            <w:tcBorders>
              <w:top w:val="double" w:sz="4" w:space="0" w:color="auto"/>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Median</w:t>
            </w:r>
          </w:p>
        </w:tc>
        <w:tc>
          <w:tcPr>
            <w:tcW w:w="1970" w:type="dxa"/>
            <w:tcBorders>
              <w:top w:val="double" w:sz="4" w:space="0" w:color="auto"/>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eastAsia="SimSun"/>
                <w:b/>
                <w:bCs/>
                <w:sz w:val="20"/>
                <w:szCs w:val="20"/>
                <w:lang w:eastAsia="zh-CN"/>
              </w:rPr>
            </w:pPr>
            <w:r w:rsidRPr="00BF6A60">
              <w:rPr>
                <w:rFonts w:eastAsia="SimSun"/>
                <w:b/>
                <w:bCs/>
                <w:sz w:val="20"/>
                <w:szCs w:val="20"/>
                <w:lang w:eastAsia="zh-CN"/>
              </w:rPr>
              <w:t xml:space="preserve">Interquartile Range </w:t>
            </w:r>
          </w:p>
        </w:tc>
        <w:tc>
          <w:tcPr>
            <w:tcW w:w="828"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b/>
                <w:bCs/>
                <w:sz w:val="20"/>
                <w:szCs w:val="20"/>
                <w:lang w:eastAsia="zh-CN"/>
              </w:rPr>
            </w:pPr>
            <w:r w:rsidRPr="00BF6A60">
              <w:rPr>
                <w:rFonts w:ascii="Arial" w:eastAsia="SimSun" w:hAnsi="Arial" w:cs="Arial"/>
                <w:b/>
                <w:bCs/>
                <w:sz w:val="20"/>
                <w:szCs w:val="20"/>
                <w:lang w:eastAsia="zh-CN"/>
              </w:rPr>
              <w:t>X</w:t>
            </w:r>
            <w:r w:rsidRPr="00BF6A60">
              <w:rPr>
                <w:rFonts w:ascii="Arial" w:eastAsia="SimSun" w:hAnsi="Arial" w:cs="Arial"/>
                <w:b/>
                <w:bCs/>
                <w:sz w:val="20"/>
                <w:szCs w:val="20"/>
                <w:vertAlign w:val="superscript"/>
                <w:lang w:eastAsia="zh-CN"/>
              </w:rPr>
              <w:t>2</w:t>
            </w:r>
          </w:p>
        </w:tc>
        <w:tc>
          <w:tcPr>
            <w:tcW w:w="1454" w:type="dxa"/>
            <w:tcBorders>
              <w:top w:val="nil"/>
              <w:left w:val="nil"/>
              <w:bottom w:val="single" w:sz="4" w:space="0" w:color="auto"/>
              <w:right w:val="doub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b/>
                <w:bCs/>
                <w:sz w:val="20"/>
                <w:szCs w:val="20"/>
                <w:lang w:eastAsia="zh-CN"/>
              </w:rPr>
            </w:pPr>
            <w:r w:rsidRPr="00BF6A60">
              <w:rPr>
                <w:rFonts w:ascii="Arial" w:eastAsia="SimSun" w:hAnsi="Arial" w:cs="Arial"/>
                <w:b/>
                <w:bCs/>
                <w:sz w:val="20"/>
                <w:szCs w:val="20"/>
                <w:lang w:eastAsia="zh-CN"/>
              </w:rPr>
              <w:t>P-value</w:t>
            </w:r>
          </w:p>
        </w:tc>
      </w:tr>
      <w:tr w:rsidR="000A3F37" w:rsidRPr="00BF6A60" w:rsidTr="00807206">
        <w:trPr>
          <w:cantSplit/>
          <w:jc w:val="center"/>
        </w:trPr>
        <w:tc>
          <w:tcPr>
            <w:tcW w:w="1281" w:type="dxa"/>
            <w:vMerge w:val="restart"/>
            <w:tcBorders>
              <w:top w:val="double" w:sz="4" w:space="0" w:color="auto"/>
              <w:left w:val="double" w:sz="4" w:space="0" w:color="auto"/>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b/>
                <w:bCs/>
                <w:sz w:val="20"/>
                <w:szCs w:val="20"/>
                <w:lang w:eastAsia="zh-CN"/>
              </w:rPr>
            </w:pPr>
            <w:r w:rsidRPr="00BF6A60">
              <w:rPr>
                <w:rFonts w:ascii="Arial" w:eastAsia="SimSun" w:hAnsi="Arial" w:cs="Arial"/>
                <w:b/>
                <w:bCs/>
                <w:sz w:val="20"/>
                <w:szCs w:val="20"/>
                <w:lang w:eastAsia="zh-CN"/>
              </w:rPr>
              <w:t xml:space="preserve">Baseline </w:t>
            </w:r>
          </w:p>
        </w:tc>
        <w:tc>
          <w:tcPr>
            <w:tcW w:w="992" w:type="dxa"/>
            <w:tcBorders>
              <w:top w:val="double" w:sz="4" w:space="0" w:color="auto"/>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b/>
                <w:bCs/>
                <w:lang w:eastAsia="zh-CN"/>
              </w:rPr>
            </w:pPr>
            <w:r w:rsidRPr="00BF6A60">
              <w:rPr>
                <w:rFonts w:eastAsia="SimSun"/>
                <w:lang w:eastAsia="zh-CN"/>
              </w:rPr>
              <w:t>VPA</w:t>
            </w:r>
          </w:p>
        </w:tc>
        <w:tc>
          <w:tcPr>
            <w:tcW w:w="709" w:type="dxa"/>
            <w:tcBorders>
              <w:top w:val="nil"/>
              <w:left w:val="nil"/>
              <w:bottom w:val="single" w:sz="4" w:space="0" w:color="auto"/>
            </w:tcBorders>
            <w:shd w:val="clear" w:color="auto" w:fill="FDE9D9"/>
            <w:noWrap/>
            <w:vAlign w:val="center"/>
          </w:tcPr>
          <w:p w:rsidR="000A3F37" w:rsidRPr="00BF6A60" w:rsidRDefault="000A3F37" w:rsidP="00807206">
            <w:pPr>
              <w:bidi w:val="0"/>
              <w:spacing w:before="80" w:after="80"/>
              <w:jc w:val="right"/>
              <w:rPr>
                <w:rFonts w:ascii="Arial" w:eastAsia="SimSun" w:hAnsi="Arial" w:cs="Arial"/>
                <w:sz w:val="20"/>
                <w:szCs w:val="20"/>
                <w:lang w:eastAsia="zh-CN"/>
              </w:rPr>
            </w:pPr>
            <w:r w:rsidRPr="00BF6A60">
              <w:rPr>
                <w:rFonts w:ascii="Arial" w:eastAsia="SimSun" w:hAnsi="Arial" w:cs="Arial"/>
                <w:sz w:val="20"/>
                <w:szCs w:val="20"/>
                <w:lang w:eastAsia="zh-CN"/>
              </w:rPr>
              <w:t>1.0</w:t>
            </w:r>
          </w:p>
        </w:tc>
        <w:tc>
          <w:tcPr>
            <w:tcW w:w="425" w:type="dxa"/>
            <w:tcBorders>
              <w:top w:val="nil"/>
              <w:left w:val="nil"/>
              <w:bottom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w:t>
            </w:r>
          </w:p>
        </w:tc>
        <w:tc>
          <w:tcPr>
            <w:tcW w:w="850"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rPr>
                <w:rFonts w:ascii="Arial" w:eastAsia="SimSun" w:hAnsi="Arial" w:cs="Arial"/>
                <w:sz w:val="20"/>
                <w:szCs w:val="20"/>
                <w:lang w:eastAsia="zh-CN"/>
              </w:rPr>
            </w:pPr>
            <w:r w:rsidRPr="00BF6A60">
              <w:rPr>
                <w:rFonts w:ascii="Arial" w:eastAsia="SimSun" w:hAnsi="Arial" w:cs="Arial"/>
                <w:sz w:val="20"/>
                <w:szCs w:val="20"/>
                <w:lang w:eastAsia="zh-CN"/>
              </w:rPr>
              <w:t>100.0</w:t>
            </w:r>
          </w:p>
        </w:tc>
        <w:tc>
          <w:tcPr>
            <w:tcW w:w="993"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38.00</w:t>
            </w:r>
          </w:p>
        </w:tc>
        <w:tc>
          <w:tcPr>
            <w:tcW w:w="1970"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82.35</w:t>
            </w: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1.347</w:t>
            </w:r>
          </w:p>
        </w:tc>
        <w:tc>
          <w:tcPr>
            <w:tcW w:w="1454" w:type="dxa"/>
            <w:vMerge w:val="restart"/>
            <w:tcBorders>
              <w:top w:val="nil"/>
              <w:left w:val="single" w:sz="4" w:space="0" w:color="auto"/>
              <w:bottom w:val="single" w:sz="4" w:space="0" w:color="000000"/>
              <w:right w:val="doub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0.510</w:t>
            </w:r>
          </w:p>
        </w:tc>
      </w:tr>
      <w:tr w:rsidR="000A3F37" w:rsidRPr="00BF6A60" w:rsidTr="00807206">
        <w:trPr>
          <w:cantSplit/>
          <w:jc w:val="center"/>
        </w:trPr>
        <w:tc>
          <w:tcPr>
            <w:tcW w:w="1281" w:type="dxa"/>
            <w:vMerge/>
            <w:tcBorders>
              <w:top w:val="nil"/>
              <w:left w:val="double" w:sz="4" w:space="0" w:color="auto"/>
              <w:bottom w:val="single" w:sz="4" w:space="0" w:color="auto"/>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b/>
                <w:bCs/>
                <w:sz w:val="20"/>
                <w:szCs w:val="20"/>
                <w:lang w:eastAsia="zh-CN"/>
              </w:rPr>
            </w:pPr>
          </w:p>
        </w:tc>
        <w:tc>
          <w:tcPr>
            <w:tcW w:w="992"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b/>
                <w:bCs/>
                <w:lang w:eastAsia="zh-CN"/>
              </w:rPr>
            </w:pPr>
            <w:r w:rsidRPr="00BF6A60">
              <w:rPr>
                <w:rFonts w:eastAsia="SimSun"/>
                <w:lang w:eastAsia="zh-CN"/>
              </w:rPr>
              <w:t>CBZ</w:t>
            </w:r>
          </w:p>
        </w:tc>
        <w:tc>
          <w:tcPr>
            <w:tcW w:w="709" w:type="dxa"/>
            <w:tcBorders>
              <w:top w:val="nil"/>
              <w:left w:val="nil"/>
              <w:bottom w:val="single" w:sz="4" w:space="0" w:color="auto"/>
            </w:tcBorders>
            <w:shd w:val="clear" w:color="auto" w:fill="B6DDE8"/>
            <w:noWrap/>
            <w:vAlign w:val="center"/>
          </w:tcPr>
          <w:p w:rsidR="000A3F37" w:rsidRPr="00BF6A60" w:rsidRDefault="000A3F37" w:rsidP="00807206">
            <w:pPr>
              <w:bidi w:val="0"/>
              <w:spacing w:before="80" w:after="80"/>
              <w:jc w:val="right"/>
              <w:rPr>
                <w:rFonts w:ascii="Arial" w:eastAsia="SimSun" w:hAnsi="Arial" w:cs="Arial"/>
                <w:sz w:val="20"/>
                <w:szCs w:val="20"/>
                <w:lang w:eastAsia="zh-CN"/>
              </w:rPr>
            </w:pPr>
            <w:r w:rsidRPr="00BF6A60">
              <w:rPr>
                <w:rFonts w:ascii="Arial" w:eastAsia="SimSun" w:hAnsi="Arial" w:cs="Arial"/>
                <w:sz w:val="20"/>
                <w:szCs w:val="20"/>
                <w:lang w:eastAsia="zh-CN"/>
              </w:rPr>
              <w:t>32.0</w:t>
            </w:r>
          </w:p>
        </w:tc>
        <w:tc>
          <w:tcPr>
            <w:tcW w:w="425" w:type="dxa"/>
            <w:tcBorders>
              <w:top w:val="nil"/>
              <w:left w:val="nil"/>
              <w:bottom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w:t>
            </w:r>
          </w:p>
        </w:tc>
        <w:tc>
          <w:tcPr>
            <w:tcW w:w="850"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rPr>
                <w:rFonts w:ascii="Arial" w:eastAsia="SimSun" w:hAnsi="Arial" w:cs="Arial"/>
                <w:sz w:val="20"/>
                <w:szCs w:val="20"/>
                <w:lang w:eastAsia="zh-CN"/>
              </w:rPr>
            </w:pPr>
            <w:r w:rsidRPr="00BF6A60">
              <w:rPr>
                <w:rFonts w:ascii="Arial" w:eastAsia="SimSun" w:hAnsi="Arial" w:cs="Arial"/>
                <w:sz w:val="20"/>
                <w:szCs w:val="20"/>
                <w:lang w:eastAsia="zh-CN"/>
              </w:rPr>
              <w:t>72.0</w:t>
            </w:r>
          </w:p>
        </w:tc>
        <w:tc>
          <w:tcPr>
            <w:tcW w:w="993"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55.00</w:t>
            </w:r>
          </w:p>
        </w:tc>
        <w:tc>
          <w:tcPr>
            <w:tcW w:w="1970"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32.50</w:t>
            </w:r>
          </w:p>
        </w:tc>
        <w:tc>
          <w:tcPr>
            <w:tcW w:w="828" w:type="dxa"/>
            <w:vMerge/>
            <w:tcBorders>
              <w:top w:val="nil"/>
              <w:left w:val="single" w:sz="4" w:space="0" w:color="auto"/>
              <w:bottom w:val="single" w:sz="4" w:space="0" w:color="000000"/>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c>
          <w:tcPr>
            <w:tcW w:w="1454" w:type="dxa"/>
            <w:vMerge/>
            <w:tcBorders>
              <w:top w:val="nil"/>
              <w:left w:val="single" w:sz="4" w:space="0" w:color="auto"/>
              <w:bottom w:val="single" w:sz="4" w:space="0" w:color="000000"/>
              <w:right w:val="doub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r>
      <w:tr w:rsidR="000A3F37" w:rsidRPr="00BF6A60" w:rsidTr="00807206">
        <w:trPr>
          <w:cantSplit/>
          <w:jc w:val="center"/>
        </w:trPr>
        <w:tc>
          <w:tcPr>
            <w:tcW w:w="1281" w:type="dxa"/>
            <w:vMerge/>
            <w:tcBorders>
              <w:top w:val="nil"/>
              <w:left w:val="double" w:sz="4" w:space="0" w:color="auto"/>
              <w:bottom w:val="single" w:sz="4" w:space="0" w:color="auto"/>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b/>
                <w:bCs/>
                <w:sz w:val="20"/>
                <w:szCs w:val="20"/>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b/>
                <w:bCs/>
                <w:lang w:eastAsia="zh-CN"/>
              </w:rPr>
            </w:pPr>
            <w:r w:rsidRPr="00BF6A60">
              <w:rPr>
                <w:rFonts w:eastAsia="SimSun"/>
                <w:lang w:eastAsia="zh-CN"/>
              </w:rPr>
              <w:t>LTM</w:t>
            </w:r>
          </w:p>
        </w:tc>
        <w:tc>
          <w:tcPr>
            <w:tcW w:w="709" w:type="dxa"/>
            <w:tcBorders>
              <w:top w:val="nil"/>
              <w:left w:val="nil"/>
              <w:bottom w:val="single" w:sz="4" w:space="0" w:color="auto"/>
            </w:tcBorders>
            <w:shd w:val="clear" w:color="auto" w:fill="auto"/>
            <w:noWrap/>
            <w:vAlign w:val="center"/>
          </w:tcPr>
          <w:p w:rsidR="000A3F37" w:rsidRPr="00BF6A60" w:rsidRDefault="000A3F37" w:rsidP="00807206">
            <w:pPr>
              <w:bidi w:val="0"/>
              <w:spacing w:before="80" w:after="80"/>
              <w:jc w:val="right"/>
              <w:rPr>
                <w:rFonts w:ascii="Arial" w:eastAsia="SimSun" w:hAnsi="Arial" w:cs="Arial"/>
                <w:sz w:val="20"/>
                <w:szCs w:val="20"/>
                <w:lang w:eastAsia="zh-CN"/>
              </w:rPr>
            </w:pPr>
            <w:r w:rsidRPr="00BF6A60">
              <w:rPr>
                <w:rFonts w:ascii="Arial" w:eastAsia="SimSun" w:hAnsi="Arial" w:cs="Arial"/>
                <w:sz w:val="20"/>
                <w:szCs w:val="20"/>
                <w:lang w:eastAsia="zh-CN"/>
              </w:rPr>
              <w:t>38.0</w:t>
            </w:r>
          </w:p>
        </w:tc>
        <w:tc>
          <w:tcPr>
            <w:tcW w:w="425" w:type="dxa"/>
            <w:tcBorders>
              <w:top w:val="nil"/>
              <w:left w:val="nil"/>
              <w:bottom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w:t>
            </w:r>
          </w:p>
        </w:tc>
        <w:tc>
          <w:tcPr>
            <w:tcW w:w="850"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rPr>
                <w:rFonts w:ascii="Arial" w:eastAsia="SimSun" w:hAnsi="Arial" w:cs="Arial"/>
                <w:sz w:val="20"/>
                <w:szCs w:val="20"/>
                <w:lang w:eastAsia="zh-CN"/>
              </w:rPr>
            </w:pPr>
            <w:r w:rsidRPr="00BF6A60">
              <w:rPr>
                <w:rFonts w:ascii="Arial" w:eastAsia="SimSun" w:hAnsi="Arial" w:cs="Arial"/>
                <w:sz w:val="20"/>
                <w:szCs w:val="20"/>
                <w:lang w:eastAsia="zh-CN"/>
              </w:rPr>
              <w:t>100.0</w:t>
            </w:r>
          </w:p>
        </w:tc>
        <w:tc>
          <w:tcPr>
            <w:tcW w:w="993"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69.00</w:t>
            </w:r>
          </w:p>
        </w:tc>
        <w:tc>
          <w:tcPr>
            <w:tcW w:w="1970"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80.45</w:t>
            </w:r>
          </w:p>
        </w:tc>
        <w:tc>
          <w:tcPr>
            <w:tcW w:w="828" w:type="dxa"/>
            <w:vMerge/>
            <w:tcBorders>
              <w:top w:val="nil"/>
              <w:left w:val="single" w:sz="4" w:space="0" w:color="auto"/>
              <w:bottom w:val="single" w:sz="4" w:space="0" w:color="000000"/>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c>
          <w:tcPr>
            <w:tcW w:w="1454" w:type="dxa"/>
            <w:vMerge/>
            <w:tcBorders>
              <w:top w:val="nil"/>
              <w:left w:val="single" w:sz="4" w:space="0" w:color="auto"/>
              <w:bottom w:val="single" w:sz="4" w:space="0" w:color="000000"/>
              <w:right w:val="doub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r>
      <w:tr w:rsidR="000A3F37" w:rsidRPr="00BF6A60" w:rsidTr="00807206">
        <w:trPr>
          <w:cantSplit/>
          <w:jc w:val="center"/>
        </w:trPr>
        <w:tc>
          <w:tcPr>
            <w:tcW w:w="1281" w:type="dxa"/>
            <w:vMerge w:val="restart"/>
            <w:tcBorders>
              <w:top w:val="nil"/>
              <w:left w:val="double" w:sz="4" w:space="0" w:color="auto"/>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b/>
                <w:bCs/>
                <w:sz w:val="20"/>
                <w:szCs w:val="20"/>
                <w:lang w:eastAsia="zh-CN"/>
              </w:rPr>
            </w:pPr>
            <w:r w:rsidRPr="00BF6A60">
              <w:rPr>
                <w:rFonts w:ascii="Arial" w:eastAsia="SimSun" w:hAnsi="Arial" w:cs="Arial"/>
                <w:b/>
                <w:bCs/>
                <w:sz w:val="20"/>
                <w:szCs w:val="20"/>
                <w:lang w:eastAsia="zh-CN"/>
              </w:rPr>
              <w:t>After 3m.</w:t>
            </w:r>
          </w:p>
        </w:tc>
        <w:tc>
          <w:tcPr>
            <w:tcW w:w="992"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b/>
                <w:bCs/>
                <w:lang w:eastAsia="zh-CN"/>
              </w:rPr>
            </w:pPr>
            <w:r w:rsidRPr="00BF6A60">
              <w:rPr>
                <w:rFonts w:eastAsia="SimSun"/>
                <w:lang w:eastAsia="zh-CN"/>
              </w:rPr>
              <w:t>VPA</w:t>
            </w:r>
          </w:p>
        </w:tc>
        <w:tc>
          <w:tcPr>
            <w:tcW w:w="709" w:type="dxa"/>
            <w:tcBorders>
              <w:top w:val="nil"/>
              <w:left w:val="nil"/>
              <w:bottom w:val="single" w:sz="4" w:space="0" w:color="auto"/>
            </w:tcBorders>
            <w:shd w:val="clear" w:color="auto" w:fill="FDE9D9"/>
            <w:noWrap/>
            <w:vAlign w:val="center"/>
          </w:tcPr>
          <w:p w:rsidR="000A3F37" w:rsidRPr="00BF6A60" w:rsidRDefault="000A3F37" w:rsidP="00807206">
            <w:pPr>
              <w:bidi w:val="0"/>
              <w:spacing w:before="80" w:after="80"/>
              <w:jc w:val="right"/>
              <w:rPr>
                <w:rFonts w:ascii="Arial" w:eastAsia="SimSun" w:hAnsi="Arial" w:cs="Arial"/>
                <w:sz w:val="20"/>
                <w:szCs w:val="20"/>
                <w:lang w:eastAsia="zh-CN"/>
              </w:rPr>
            </w:pPr>
            <w:r w:rsidRPr="00BF6A60">
              <w:rPr>
                <w:rFonts w:ascii="Arial" w:eastAsia="SimSun" w:hAnsi="Arial" w:cs="Arial"/>
                <w:sz w:val="20"/>
                <w:szCs w:val="20"/>
                <w:lang w:eastAsia="zh-CN"/>
              </w:rPr>
              <w:t>0.50</w:t>
            </w:r>
          </w:p>
        </w:tc>
        <w:tc>
          <w:tcPr>
            <w:tcW w:w="425" w:type="dxa"/>
            <w:tcBorders>
              <w:top w:val="nil"/>
              <w:left w:val="nil"/>
              <w:bottom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w:t>
            </w:r>
          </w:p>
        </w:tc>
        <w:tc>
          <w:tcPr>
            <w:tcW w:w="850"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rPr>
                <w:rFonts w:ascii="Arial" w:eastAsia="SimSun" w:hAnsi="Arial" w:cs="Arial"/>
                <w:sz w:val="20"/>
                <w:szCs w:val="20"/>
                <w:lang w:eastAsia="zh-CN"/>
              </w:rPr>
            </w:pPr>
            <w:r w:rsidRPr="00BF6A60">
              <w:rPr>
                <w:rFonts w:ascii="Arial" w:eastAsia="SimSun" w:hAnsi="Arial" w:cs="Arial"/>
                <w:sz w:val="20"/>
                <w:szCs w:val="20"/>
                <w:lang w:eastAsia="zh-CN"/>
              </w:rPr>
              <w:t>100.0</w:t>
            </w:r>
          </w:p>
        </w:tc>
        <w:tc>
          <w:tcPr>
            <w:tcW w:w="993"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65.00</w:t>
            </w:r>
          </w:p>
        </w:tc>
        <w:tc>
          <w:tcPr>
            <w:tcW w:w="1970"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60.25</w:t>
            </w: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0.187</w:t>
            </w:r>
          </w:p>
        </w:tc>
        <w:tc>
          <w:tcPr>
            <w:tcW w:w="1454" w:type="dxa"/>
            <w:vMerge w:val="restart"/>
            <w:tcBorders>
              <w:top w:val="nil"/>
              <w:left w:val="single" w:sz="4" w:space="0" w:color="auto"/>
              <w:bottom w:val="single" w:sz="4" w:space="0" w:color="000000"/>
              <w:right w:val="doub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0.911</w:t>
            </w:r>
          </w:p>
        </w:tc>
      </w:tr>
      <w:tr w:rsidR="000A3F37" w:rsidRPr="00BF6A60" w:rsidTr="00807206">
        <w:trPr>
          <w:cantSplit/>
          <w:jc w:val="center"/>
        </w:trPr>
        <w:tc>
          <w:tcPr>
            <w:tcW w:w="1281" w:type="dxa"/>
            <w:vMerge/>
            <w:tcBorders>
              <w:top w:val="nil"/>
              <w:left w:val="double" w:sz="4" w:space="0" w:color="auto"/>
              <w:bottom w:val="single" w:sz="4" w:space="0" w:color="auto"/>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b/>
                <w:bCs/>
                <w:sz w:val="20"/>
                <w:szCs w:val="20"/>
                <w:lang w:eastAsia="zh-CN"/>
              </w:rPr>
            </w:pPr>
          </w:p>
        </w:tc>
        <w:tc>
          <w:tcPr>
            <w:tcW w:w="992"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b/>
                <w:bCs/>
                <w:lang w:eastAsia="zh-CN"/>
              </w:rPr>
            </w:pPr>
            <w:r w:rsidRPr="00BF6A60">
              <w:rPr>
                <w:rFonts w:eastAsia="SimSun"/>
                <w:lang w:eastAsia="zh-CN"/>
              </w:rPr>
              <w:t>CBZ</w:t>
            </w:r>
          </w:p>
        </w:tc>
        <w:tc>
          <w:tcPr>
            <w:tcW w:w="709" w:type="dxa"/>
            <w:tcBorders>
              <w:top w:val="nil"/>
              <w:left w:val="nil"/>
              <w:bottom w:val="single" w:sz="4" w:space="0" w:color="auto"/>
            </w:tcBorders>
            <w:shd w:val="clear" w:color="auto" w:fill="B6DDE8"/>
            <w:noWrap/>
            <w:vAlign w:val="center"/>
          </w:tcPr>
          <w:p w:rsidR="000A3F37" w:rsidRPr="00BF6A60" w:rsidRDefault="000A3F37" w:rsidP="00807206">
            <w:pPr>
              <w:bidi w:val="0"/>
              <w:spacing w:before="80" w:after="80"/>
              <w:jc w:val="right"/>
              <w:rPr>
                <w:rFonts w:ascii="Arial" w:eastAsia="SimSun" w:hAnsi="Arial" w:cs="Arial"/>
                <w:sz w:val="20"/>
                <w:szCs w:val="20"/>
                <w:lang w:eastAsia="zh-CN"/>
              </w:rPr>
            </w:pPr>
            <w:r w:rsidRPr="00BF6A60">
              <w:rPr>
                <w:rFonts w:ascii="Arial" w:eastAsia="SimSun" w:hAnsi="Arial" w:cs="Arial"/>
                <w:sz w:val="20"/>
                <w:szCs w:val="20"/>
                <w:lang w:eastAsia="zh-CN"/>
              </w:rPr>
              <w:t>38.0</w:t>
            </w:r>
          </w:p>
        </w:tc>
        <w:tc>
          <w:tcPr>
            <w:tcW w:w="425" w:type="dxa"/>
            <w:tcBorders>
              <w:top w:val="nil"/>
              <w:left w:val="nil"/>
              <w:bottom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w:t>
            </w:r>
          </w:p>
        </w:tc>
        <w:tc>
          <w:tcPr>
            <w:tcW w:w="850"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rPr>
                <w:rFonts w:ascii="Arial" w:eastAsia="SimSun" w:hAnsi="Arial" w:cs="Arial"/>
                <w:sz w:val="20"/>
                <w:szCs w:val="20"/>
                <w:lang w:eastAsia="zh-CN"/>
              </w:rPr>
            </w:pPr>
            <w:r w:rsidRPr="00BF6A60">
              <w:rPr>
                <w:rFonts w:ascii="Arial" w:eastAsia="SimSun" w:hAnsi="Arial" w:cs="Arial"/>
                <w:sz w:val="20"/>
                <w:szCs w:val="20"/>
                <w:lang w:eastAsia="zh-CN"/>
              </w:rPr>
              <w:t>90.0</w:t>
            </w:r>
          </w:p>
        </w:tc>
        <w:tc>
          <w:tcPr>
            <w:tcW w:w="993"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65.00</w:t>
            </w:r>
          </w:p>
        </w:tc>
        <w:tc>
          <w:tcPr>
            <w:tcW w:w="1970"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41.50</w:t>
            </w:r>
          </w:p>
        </w:tc>
        <w:tc>
          <w:tcPr>
            <w:tcW w:w="828" w:type="dxa"/>
            <w:vMerge/>
            <w:tcBorders>
              <w:top w:val="nil"/>
              <w:left w:val="single" w:sz="4" w:space="0" w:color="auto"/>
              <w:bottom w:val="single" w:sz="4" w:space="0" w:color="000000"/>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c>
          <w:tcPr>
            <w:tcW w:w="1454" w:type="dxa"/>
            <w:vMerge/>
            <w:tcBorders>
              <w:top w:val="nil"/>
              <w:left w:val="single" w:sz="4" w:space="0" w:color="auto"/>
              <w:bottom w:val="single" w:sz="4" w:space="0" w:color="000000"/>
              <w:right w:val="doub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r>
      <w:tr w:rsidR="000A3F37" w:rsidRPr="00BF6A60" w:rsidTr="00807206">
        <w:trPr>
          <w:cantSplit/>
          <w:jc w:val="center"/>
        </w:trPr>
        <w:tc>
          <w:tcPr>
            <w:tcW w:w="1281" w:type="dxa"/>
            <w:vMerge/>
            <w:tcBorders>
              <w:top w:val="nil"/>
              <w:left w:val="double" w:sz="4" w:space="0" w:color="auto"/>
              <w:bottom w:val="single" w:sz="4" w:space="0" w:color="auto"/>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b/>
                <w:bCs/>
                <w:sz w:val="20"/>
                <w:szCs w:val="20"/>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b/>
                <w:bCs/>
                <w:lang w:eastAsia="zh-CN"/>
              </w:rPr>
            </w:pPr>
            <w:r w:rsidRPr="00BF6A60">
              <w:rPr>
                <w:rFonts w:eastAsia="SimSun"/>
                <w:lang w:eastAsia="zh-CN"/>
              </w:rPr>
              <w:t>LTM</w:t>
            </w:r>
          </w:p>
        </w:tc>
        <w:tc>
          <w:tcPr>
            <w:tcW w:w="709" w:type="dxa"/>
            <w:tcBorders>
              <w:top w:val="nil"/>
              <w:left w:val="nil"/>
              <w:bottom w:val="single" w:sz="4" w:space="0" w:color="auto"/>
            </w:tcBorders>
            <w:shd w:val="clear" w:color="auto" w:fill="auto"/>
            <w:noWrap/>
            <w:vAlign w:val="center"/>
          </w:tcPr>
          <w:p w:rsidR="000A3F37" w:rsidRPr="00BF6A60" w:rsidRDefault="000A3F37" w:rsidP="00807206">
            <w:pPr>
              <w:bidi w:val="0"/>
              <w:spacing w:before="80" w:after="80"/>
              <w:jc w:val="right"/>
              <w:rPr>
                <w:rFonts w:ascii="Arial" w:eastAsia="SimSun" w:hAnsi="Arial" w:cs="Arial"/>
                <w:sz w:val="20"/>
                <w:szCs w:val="20"/>
                <w:lang w:eastAsia="zh-CN"/>
              </w:rPr>
            </w:pPr>
            <w:r w:rsidRPr="00BF6A60">
              <w:rPr>
                <w:rFonts w:ascii="Arial" w:eastAsia="SimSun" w:hAnsi="Arial" w:cs="Arial"/>
                <w:sz w:val="20"/>
                <w:szCs w:val="20"/>
                <w:lang w:eastAsia="zh-CN"/>
              </w:rPr>
              <w:t>40.0</w:t>
            </w:r>
          </w:p>
        </w:tc>
        <w:tc>
          <w:tcPr>
            <w:tcW w:w="425" w:type="dxa"/>
            <w:tcBorders>
              <w:top w:val="nil"/>
              <w:left w:val="nil"/>
              <w:bottom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w:t>
            </w:r>
          </w:p>
        </w:tc>
        <w:tc>
          <w:tcPr>
            <w:tcW w:w="850"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rPr>
                <w:rFonts w:ascii="Arial" w:eastAsia="SimSun" w:hAnsi="Arial" w:cs="Arial"/>
                <w:sz w:val="20"/>
                <w:szCs w:val="20"/>
                <w:lang w:eastAsia="zh-CN"/>
              </w:rPr>
            </w:pPr>
            <w:r w:rsidRPr="00BF6A60">
              <w:rPr>
                <w:rFonts w:ascii="Arial" w:eastAsia="SimSun" w:hAnsi="Arial" w:cs="Arial"/>
                <w:sz w:val="20"/>
                <w:szCs w:val="20"/>
                <w:lang w:eastAsia="zh-CN"/>
              </w:rPr>
              <w:t>100.0</w:t>
            </w:r>
          </w:p>
        </w:tc>
        <w:tc>
          <w:tcPr>
            <w:tcW w:w="993"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70.00</w:t>
            </w:r>
          </w:p>
        </w:tc>
        <w:tc>
          <w:tcPr>
            <w:tcW w:w="1970" w:type="dxa"/>
            <w:tcBorders>
              <w:top w:val="nil"/>
              <w:left w:val="nil"/>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65.45</w:t>
            </w:r>
          </w:p>
        </w:tc>
        <w:tc>
          <w:tcPr>
            <w:tcW w:w="828" w:type="dxa"/>
            <w:vMerge/>
            <w:tcBorders>
              <w:top w:val="nil"/>
              <w:left w:val="single" w:sz="4" w:space="0" w:color="auto"/>
              <w:bottom w:val="single" w:sz="4" w:space="0" w:color="000000"/>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c>
          <w:tcPr>
            <w:tcW w:w="1454" w:type="dxa"/>
            <w:vMerge/>
            <w:tcBorders>
              <w:top w:val="nil"/>
              <w:left w:val="single" w:sz="4" w:space="0" w:color="auto"/>
              <w:bottom w:val="single" w:sz="4" w:space="0" w:color="000000"/>
              <w:right w:val="doub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r>
      <w:tr w:rsidR="000A3F37" w:rsidRPr="00BF6A60" w:rsidTr="00807206">
        <w:trPr>
          <w:cantSplit/>
          <w:jc w:val="center"/>
        </w:trPr>
        <w:tc>
          <w:tcPr>
            <w:tcW w:w="1281" w:type="dxa"/>
            <w:vMerge w:val="restart"/>
            <w:tcBorders>
              <w:top w:val="nil"/>
              <w:left w:val="double" w:sz="4" w:space="0" w:color="auto"/>
              <w:bottom w:val="sing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b/>
                <w:bCs/>
                <w:sz w:val="20"/>
                <w:szCs w:val="20"/>
                <w:lang w:eastAsia="zh-CN"/>
              </w:rPr>
            </w:pPr>
            <w:r w:rsidRPr="00BF6A60">
              <w:rPr>
                <w:rFonts w:ascii="Arial" w:eastAsia="SimSun" w:hAnsi="Arial" w:cs="Arial"/>
                <w:b/>
                <w:bCs/>
                <w:sz w:val="20"/>
                <w:szCs w:val="20"/>
                <w:lang w:eastAsia="zh-CN"/>
              </w:rPr>
              <w:t>After 5m.</w:t>
            </w:r>
          </w:p>
        </w:tc>
        <w:tc>
          <w:tcPr>
            <w:tcW w:w="992"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b/>
                <w:bCs/>
                <w:lang w:eastAsia="zh-CN"/>
              </w:rPr>
            </w:pPr>
            <w:r w:rsidRPr="00BF6A60">
              <w:rPr>
                <w:rFonts w:eastAsia="SimSun"/>
                <w:lang w:eastAsia="zh-CN"/>
              </w:rPr>
              <w:t>VPA</w:t>
            </w:r>
          </w:p>
        </w:tc>
        <w:tc>
          <w:tcPr>
            <w:tcW w:w="709" w:type="dxa"/>
            <w:tcBorders>
              <w:top w:val="nil"/>
              <w:left w:val="nil"/>
              <w:bottom w:val="single" w:sz="4" w:space="0" w:color="auto"/>
            </w:tcBorders>
            <w:shd w:val="clear" w:color="auto" w:fill="FDE9D9"/>
            <w:noWrap/>
            <w:vAlign w:val="center"/>
          </w:tcPr>
          <w:p w:rsidR="000A3F37" w:rsidRPr="00BF6A60" w:rsidRDefault="000A3F37" w:rsidP="00807206">
            <w:pPr>
              <w:bidi w:val="0"/>
              <w:spacing w:before="80" w:after="80"/>
              <w:jc w:val="right"/>
              <w:rPr>
                <w:rFonts w:ascii="Arial" w:eastAsia="SimSun" w:hAnsi="Arial" w:cs="Arial"/>
                <w:sz w:val="20"/>
                <w:szCs w:val="20"/>
                <w:lang w:eastAsia="zh-CN"/>
              </w:rPr>
            </w:pPr>
            <w:r w:rsidRPr="00BF6A60">
              <w:rPr>
                <w:rFonts w:ascii="Arial" w:eastAsia="SimSun" w:hAnsi="Arial" w:cs="Arial"/>
                <w:sz w:val="20"/>
                <w:szCs w:val="20"/>
                <w:lang w:eastAsia="zh-CN"/>
              </w:rPr>
              <w:t>5.00</w:t>
            </w:r>
          </w:p>
        </w:tc>
        <w:tc>
          <w:tcPr>
            <w:tcW w:w="425" w:type="dxa"/>
            <w:tcBorders>
              <w:top w:val="nil"/>
              <w:left w:val="nil"/>
              <w:bottom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w:t>
            </w:r>
          </w:p>
        </w:tc>
        <w:tc>
          <w:tcPr>
            <w:tcW w:w="850"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rPr>
                <w:rFonts w:ascii="Arial" w:eastAsia="SimSun" w:hAnsi="Arial" w:cs="Arial"/>
                <w:sz w:val="20"/>
                <w:szCs w:val="20"/>
                <w:lang w:eastAsia="zh-CN"/>
              </w:rPr>
            </w:pPr>
            <w:r w:rsidRPr="00BF6A60">
              <w:rPr>
                <w:rFonts w:ascii="Arial" w:eastAsia="SimSun" w:hAnsi="Arial" w:cs="Arial"/>
                <w:sz w:val="20"/>
                <w:szCs w:val="20"/>
                <w:lang w:eastAsia="zh-CN"/>
              </w:rPr>
              <w:t>90.0</w:t>
            </w:r>
          </w:p>
        </w:tc>
        <w:tc>
          <w:tcPr>
            <w:tcW w:w="993"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50.00</w:t>
            </w:r>
          </w:p>
        </w:tc>
        <w:tc>
          <w:tcPr>
            <w:tcW w:w="1970" w:type="dxa"/>
            <w:tcBorders>
              <w:top w:val="nil"/>
              <w:left w:val="nil"/>
              <w:bottom w:val="single" w:sz="4" w:space="0" w:color="auto"/>
              <w:right w:val="single" w:sz="4" w:space="0" w:color="auto"/>
            </w:tcBorders>
            <w:shd w:val="clear" w:color="auto" w:fill="FDE9D9"/>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49.75</w:t>
            </w: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6.654</w:t>
            </w:r>
          </w:p>
        </w:tc>
        <w:tc>
          <w:tcPr>
            <w:tcW w:w="1454" w:type="dxa"/>
            <w:vMerge w:val="restart"/>
            <w:tcBorders>
              <w:top w:val="nil"/>
              <w:left w:val="single" w:sz="4" w:space="0" w:color="auto"/>
              <w:bottom w:val="single" w:sz="4" w:space="0" w:color="000000"/>
              <w:right w:val="doub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0.036*</w:t>
            </w:r>
          </w:p>
        </w:tc>
      </w:tr>
      <w:tr w:rsidR="000A3F37" w:rsidRPr="00BF6A60" w:rsidTr="00807206">
        <w:trPr>
          <w:cantSplit/>
          <w:jc w:val="center"/>
        </w:trPr>
        <w:tc>
          <w:tcPr>
            <w:tcW w:w="1281" w:type="dxa"/>
            <w:vMerge/>
            <w:tcBorders>
              <w:top w:val="nil"/>
              <w:left w:val="double" w:sz="4" w:space="0" w:color="auto"/>
              <w:bottom w:val="single" w:sz="4" w:space="0" w:color="auto"/>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b/>
                <w:bCs/>
                <w:sz w:val="20"/>
                <w:szCs w:val="20"/>
                <w:lang w:eastAsia="zh-CN"/>
              </w:rPr>
            </w:pPr>
          </w:p>
        </w:tc>
        <w:tc>
          <w:tcPr>
            <w:tcW w:w="992"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b/>
                <w:bCs/>
                <w:lang w:eastAsia="zh-CN"/>
              </w:rPr>
            </w:pPr>
            <w:r w:rsidRPr="00BF6A60">
              <w:rPr>
                <w:rFonts w:eastAsia="SimSun"/>
                <w:lang w:eastAsia="zh-CN"/>
              </w:rPr>
              <w:t>CBZ</w:t>
            </w:r>
          </w:p>
        </w:tc>
        <w:tc>
          <w:tcPr>
            <w:tcW w:w="709" w:type="dxa"/>
            <w:tcBorders>
              <w:top w:val="nil"/>
              <w:left w:val="nil"/>
              <w:bottom w:val="single" w:sz="4" w:space="0" w:color="auto"/>
            </w:tcBorders>
            <w:shd w:val="clear" w:color="auto" w:fill="B6DDE8"/>
            <w:noWrap/>
            <w:vAlign w:val="center"/>
          </w:tcPr>
          <w:p w:rsidR="000A3F37" w:rsidRPr="00BF6A60" w:rsidRDefault="000A3F37" w:rsidP="00807206">
            <w:pPr>
              <w:bidi w:val="0"/>
              <w:spacing w:before="80" w:after="80"/>
              <w:jc w:val="right"/>
              <w:rPr>
                <w:rFonts w:ascii="Arial" w:eastAsia="SimSun" w:hAnsi="Arial" w:cs="Arial"/>
                <w:sz w:val="20"/>
                <w:szCs w:val="20"/>
                <w:lang w:eastAsia="zh-CN"/>
              </w:rPr>
            </w:pPr>
            <w:r w:rsidRPr="00BF6A60">
              <w:rPr>
                <w:rFonts w:ascii="Arial" w:eastAsia="SimSun" w:hAnsi="Arial" w:cs="Arial"/>
                <w:sz w:val="20"/>
                <w:szCs w:val="20"/>
                <w:lang w:eastAsia="zh-CN"/>
              </w:rPr>
              <w:t>2.50</w:t>
            </w:r>
          </w:p>
        </w:tc>
        <w:tc>
          <w:tcPr>
            <w:tcW w:w="425" w:type="dxa"/>
            <w:tcBorders>
              <w:top w:val="nil"/>
              <w:left w:val="nil"/>
              <w:bottom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w:t>
            </w:r>
          </w:p>
        </w:tc>
        <w:tc>
          <w:tcPr>
            <w:tcW w:w="850"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rPr>
                <w:rFonts w:ascii="Arial" w:eastAsia="SimSun" w:hAnsi="Arial" w:cs="Arial"/>
                <w:sz w:val="20"/>
                <w:szCs w:val="20"/>
                <w:lang w:eastAsia="zh-CN"/>
              </w:rPr>
            </w:pPr>
            <w:r w:rsidRPr="00BF6A60">
              <w:rPr>
                <w:rFonts w:ascii="Arial" w:eastAsia="SimSun" w:hAnsi="Arial" w:cs="Arial"/>
                <w:sz w:val="20"/>
                <w:szCs w:val="20"/>
                <w:lang w:eastAsia="zh-CN"/>
              </w:rPr>
              <w:t>35.0</w:t>
            </w:r>
          </w:p>
        </w:tc>
        <w:tc>
          <w:tcPr>
            <w:tcW w:w="993"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22.00</w:t>
            </w:r>
          </w:p>
        </w:tc>
        <w:tc>
          <w:tcPr>
            <w:tcW w:w="1970" w:type="dxa"/>
            <w:tcBorders>
              <w:top w:val="nil"/>
              <w:left w:val="nil"/>
              <w:bottom w:val="single" w:sz="4" w:space="0" w:color="auto"/>
              <w:right w:val="single" w:sz="4" w:space="0" w:color="auto"/>
            </w:tcBorders>
            <w:shd w:val="clear" w:color="auto" w:fill="B6DDE8"/>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24.38</w:t>
            </w:r>
          </w:p>
        </w:tc>
        <w:tc>
          <w:tcPr>
            <w:tcW w:w="828" w:type="dxa"/>
            <w:vMerge/>
            <w:tcBorders>
              <w:top w:val="nil"/>
              <w:left w:val="single" w:sz="4" w:space="0" w:color="auto"/>
              <w:bottom w:val="single" w:sz="4" w:space="0" w:color="000000"/>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c>
          <w:tcPr>
            <w:tcW w:w="1454" w:type="dxa"/>
            <w:vMerge/>
            <w:tcBorders>
              <w:top w:val="nil"/>
              <w:left w:val="single" w:sz="4" w:space="0" w:color="auto"/>
              <w:bottom w:val="single" w:sz="4" w:space="0" w:color="000000"/>
              <w:right w:val="doub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r>
      <w:tr w:rsidR="000A3F37" w:rsidRPr="00BF6A60" w:rsidTr="00807206">
        <w:trPr>
          <w:cantSplit/>
          <w:jc w:val="center"/>
        </w:trPr>
        <w:tc>
          <w:tcPr>
            <w:tcW w:w="1281" w:type="dxa"/>
            <w:vMerge/>
            <w:tcBorders>
              <w:top w:val="nil"/>
              <w:left w:val="double" w:sz="4" w:space="0" w:color="auto"/>
              <w:bottom w:val="double" w:sz="4" w:space="0" w:color="auto"/>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b/>
                <w:bCs/>
                <w:sz w:val="20"/>
                <w:szCs w:val="20"/>
                <w:lang w:eastAsia="zh-CN"/>
              </w:rPr>
            </w:pPr>
          </w:p>
        </w:tc>
        <w:tc>
          <w:tcPr>
            <w:tcW w:w="992" w:type="dxa"/>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b/>
                <w:bCs/>
                <w:lang w:eastAsia="zh-CN"/>
              </w:rPr>
            </w:pPr>
            <w:r w:rsidRPr="00BF6A60">
              <w:rPr>
                <w:rFonts w:eastAsia="SimSun"/>
                <w:lang w:eastAsia="zh-CN"/>
              </w:rPr>
              <w:t>LTM</w:t>
            </w:r>
          </w:p>
        </w:tc>
        <w:tc>
          <w:tcPr>
            <w:tcW w:w="709" w:type="dxa"/>
            <w:tcBorders>
              <w:top w:val="nil"/>
              <w:left w:val="nil"/>
              <w:bottom w:val="double" w:sz="4" w:space="0" w:color="auto"/>
            </w:tcBorders>
            <w:shd w:val="clear" w:color="auto" w:fill="auto"/>
            <w:noWrap/>
            <w:vAlign w:val="center"/>
          </w:tcPr>
          <w:p w:rsidR="000A3F37" w:rsidRPr="00BF6A60" w:rsidRDefault="000A3F37" w:rsidP="00807206">
            <w:pPr>
              <w:bidi w:val="0"/>
              <w:spacing w:before="80" w:after="80"/>
              <w:jc w:val="right"/>
              <w:rPr>
                <w:rFonts w:ascii="Arial" w:eastAsia="SimSun" w:hAnsi="Arial" w:cs="Arial"/>
                <w:sz w:val="20"/>
                <w:szCs w:val="20"/>
                <w:lang w:eastAsia="zh-CN"/>
              </w:rPr>
            </w:pPr>
            <w:r w:rsidRPr="00BF6A60">
              <w:rPr>
                <w:rFonts w:ascii="Arial" w:eastAsia="SimSun" w:hAnsi="Arial" w:cs="Arial"/>
                <w:sz w:val="20"/>
                <w:szCs w:val="20"/>
                <w:lang w:eastAsia="zh-CN"/>
              </w:rPr>
              <w:t>80.0</w:t>
            </w:r>
          </w:p>
        </w:tc>
        <w:tc>
          <w:tcPr>
            <w:tcW w:w="425" w:type="dxa"/>
            <w:tcBorders>
              <w:top w:val="nil"/>
              <w:left w:val="nil"/>
              <w:bottom w:val="doub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w:t>
            </w:r>
          </w:p>
        </w:tc>
        <w:tc>
          <w:tcPr>
            <w:tcW w:w="850" w:type="dxa"/>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80" w:after="80"/>
              <w:rPr>
                <w:rFonts w:ascii="Arial" w:eastAsia="SimSun" w:hAnsi="Arial" w:cs="Arial"/>
                <w:sz w:val="20"/>
                <w:szCs w:val="20"/>
                <w:lang w:eastAsia="zh-CN"/>
              </w:rPr>
            </w:pPr>
            <w:r w:rsidRPr="00BF6A60">
              <w:rPr>
                <w:rFonts w:ascii="Arial" w:eastAsia="SimSun" w:hAnsi="Arial" w:cs="Arial"/>
                <w:sz w:val="20"/>
                <w:szCs w:val="20"/>
                <w:lang w:eastAsia="zh-CN"/>
              </w:rPr>
              <w:t>95.0</w:t>
            </w:r>
          </w:p>
        </w:tc>
        <w:tc>
          <w:tcPr>
            <w:tcW w:w="993" w:type="dxa"/>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87.50</w:t>
            </w:r>
          </w:p>
        </w:tc>
        <w:tc>
          <w:tcPr>
            <w:tcW w:w="1970" w:type="dxa"/>
            <w:tcBorders>
              <w:top w:val="nil"/>
              <w:left w:val="nil"/>
              <w:bottom w:val="double" w:sz="4" w:space="0" w:color="auto"/>
              <w:right w:val="single" w:sz="4" w:space="0" w:color="auto"/>
            </w:tcBorders>
            <w:shd w:val="clear" w:color="auto" w:fill="auto"/>
            <w:noWrap/>
            <w:vAlign w:val="center"/>
          </w:tcPr>
          <w:p w:rsidR="000A3F37" w:rsidRPr="00BF6A60" w:rsidRDefault="000A3F37" w:rsidP="00807206">
            <w:pPr>
              <w:bidi w:val="0"/>
              <w:spacing w:before="80" w:after="80"/>
              <w:jc w:val="center"/>
              <w:rPr>
                <w:rFonts w:ascii="Arial" w:eastAsia="SimSun" w:hAnsi="Arial" w:cs="Arial"/>
                <w:sz w:val="20"/>
                <w:szCs w:val="20"/>
                <w:lang w:eastAsia="zh-CN"/>
              </w:rPr>
            </w:pPr>
            <w:r w:rsidRPr="00BF6A60">
              <w:rPr>
                <w:rFonts w:ascii="Arial" w:eastAsia="SimSun" w:hAnsi="Arial" w:cs="Arial"/>
                <w:sz w:val="20"/>
                <w:szCs w:val="20"/>
                <w:lang w:eastAsia="zh-CN"/>
              </w:rPr>
              <w:t>50.54</w:t>
            </w:r>
          </w:p>
        </w:tc>
        <w:tc>
          <w:tcPr>
            <w:tcW w:w="828" w:type="dxa"/>
            <w:vMerge/>
            <w:tcBorders>
              <w:top w:val="nil"/>
              <w:left w:val="single" w:sz="4" w:space="0" w:color="auto"/>
              <w:bottom w:val="double" w:sz="4" w:space="0" w:color="auto"/>
              <w:right w:val="sing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c>
          <w:tcPr>
            <w:tcW w:w="1454" w:type="dxa"/>
            <w:vMerge/>
            <w:tcBorders>
              <w:top w:val="nil"/>
              <w:left w:val="single" w:sz="4" w:space="0" w:color="auto"/>
              <w:bottom w:val="double" w:sz="4" w:space="0" w:color="auto"/>
              <w:right w:val="double" w:sz="4" w:space="0" w:color="auto"/>
            </w:tcBorders>
            <w:shd w:val="clear" w:color="auto" w:fill="auto"/>
            <w:vAlign w:val="center"/>
          </w:tcPr>
          <w:p w:rsidR="000A3F37" w:rsidRPr="00BF6A60" w:rsidRDefault="000A3F37" w:rsidP="00807206">
            <w:pPr>
              <w:bidi w:val="0"/>
              <w:spacing w:before="80" w:after="80"/>
              <w:rPr>
                <w:rFonts w:ascii="Arial" w:eastAsia="SimSun" w:hAnsi="Arial" w:cs="Arial"/>
                <w:sz w:val="20"/>
                <w:szCs w:val="20"/>
                <w:lang w:eastAsia="zh-CN"/>
              </w:rPr>
            </w:pPr>
          </w:p>
        </w:tc>
      </w:tr>
    </w:tbl>
    <w:p w:rsidR="000A3F37" w:rsidRDefault="000A3F37" w:rsidP="00291764">
      <w:pPr>
        <w:bidi w:val="0"/>
        <w:spacing w:before="120" w:line="420" w:lineRule="atLeast"/>
        <w:jc w:val="center"/>
        <w:rPr>
          <w:rFonts w:ascii="Freehand471 BT" w:hAnsi="Freehand471 BT"/>
          <w:b/>
          <w:bCs/>
          <w:sz w:val="38"/>
          <w:szCs w:val="36"/>
        </w:rPr>
      </w:pPr>
      <w:r w:rsidRPr="00DE5792">
        <w:rPr>
          <w:rFonts w:eastAsia="SimSun"/>
          <w:sz w:val="22"/>
          <w:szCs w:val="22"/>
          <w:lang w:eastAsia="zh-CN"/>
        </w:rPr>
        <w:t xml:space="preserve">VPA: Valproate/ CBZ: </w:t>
      </w:r>
      <w:proofErr w:type="spellStart"/>
      <w:r w:rsidRPr="00DE5792">
        <w:rPr>
          <w:rFonts w:eastAsia="SimSun"/>
          <w:sz w:val="22"/>
          <w:szCs w:val="22"/>
          <w:lang w:eastAsia="zh-CN"/>
        </w:rPr>
        <w:t>Carbamazepine</w:t>
      </w:r>
      <w:proofErr w:type="spellEnd"/>
      <w:r w:rsidRPr="00DE5792">
        <w:rPr>
          <w:rFonts w:eastAsia="SimSun"/>
          <w:sz w:val="22"/>
          <w:szCs w:val="22"/>
          <w:lang w:eastAsia="zh-CN"/>
        </w:rPr>
        <w:t>/ LTM:</w:t>
      </w:r>
      <w:r w:rsidRPr="00DE5792">
        <w:rPr>
          <w:rFonts w:ascii="Arial" w:eastAsia="SimSun" w:hAnsi="Arial" w:cs="Arial"/>
          <w:b/>
          <w:bCs/>
          <w:sz w:val="16"/>
          <w:szCs w:val="16"/>
          <w:lang w:eastAsia="zh-CN"/>
        </w:rPr>
        <w:t xml:space="preserve"> </w:t>
      </w:r>
      <w:proofErr w:type="spellStart"/>
      <w:r w:rsidRPr="00DE5792">
        <w:rPr>
          <w:rFonts w:eastAsia="SimSun"/>
          <w:sz w:val="22"/>
          <w:szCs w:val="22"/>
          <w:lang w:eastAsia="zh-CN"/>
        </w:rPr>
        <w:t>Levetiracetam</w:t>
      </w:r>
      <w:proofErr w:type="spellEnd"/>
      <w:r>
        <w:rPr>
          <w:rFonts w:eastAsia="SimSun"/>
          <w:sz w:val="22"/>
          <w:szCs w:val="22"/>
          <w:lang w:eastAsia="zh-CN"/>
        </w:rPr>
        <w:t>.</w:t>
      </w:r>
    </w:p>
    <w:p w:rsidR="00291764" w:rsidRDefault="00291764" w:rsidP="00291764">
      <w:pPr>
        <w:bidi w:val="0"/>
        <w:spacing w:before="240" w:line="420" w:lineRule="atLeast"/>
        <w:ind w:firstLine="284"/>
        <w:rPr>
          <w:rFonts w:eastAsia="SimSun"/>
          <w:sz w:val="28"/>
          <w:szCs w:val="28"/>
          <w:lang w:eastAsia="zh-CN"/>
        </w:rPr>
      </w:pPr>
      <w:r w:rsidRPr="00BF6A60">
        <w:rPr>
          <w:rFonts w:eastAsia="SimSun"/>
          <w:sz w:val="28"/>
          <w:szCs w:val="28"/>
          <w:lang w:eastAsia="zh-CN"/>
        </w:rPr>
        <w:lastRenderedPageBreak/>
        <w:t>Chalfont severity scales are significantly decreased after starting the AED therapy and throughout all stages of the study; 3 and5 months (P</w:t>
      </w:r>
      <w:r>
        <w:rPr>
          <w:rFonts w:eastAsia="SimSun"/>
          <w:sz w:val="28"/>
          <w:szCs w:val="28"/>
          <w:lang w:eastAsia="zh-CN"/>
        </w:rPr>
        <w:t>&lt;</w:t>
      </w:r>
      <w:r w:rsidRPr="00BF6A60">
        <w:rPr>
          <w:rFonts w:eastAsia="SimSun"/>
          <w:sz w:val="28"/>
          <w:szCs w:val="28"/>
          <w:lang w:eastAsia="zh-CN"/>
        </w:rPr>
        <w:t>0</w:t>
      </w:r>
      <w:r>
        <w:rPr>
          <w:rFonts w:eastAsia="SimSun"/>
          <w:sz w:val="28"/>
          <w:szCs w:val="28"/>
          <w:lang w:eastAsia="zh-CN"/>
        </w:rPr>
        <w:t>.</w:t>
      </w:r>
      <w:r w:rsidRPr="00BF6A60">
        <w:rPr>
          <w:rFonts w:eastAsia="SimSun"/>
          <w:sz w:val="28"/>
          <w:szCs w:val="28"/>
          <w:lang w:eastAsia="zh-CN"/>
        </w:rPr>
        <w:t>001).</w:t>
      </w:r>
      <w:r>
        <w:rPr>
          <w:rFonts w:eastAsia="SimSun"/>
          <w:sz w:val="28"/>
          <w:szCs w:val="28"/>
          <w:lang w:eastAsia="zh-CN"/>
        </w:rPr>
        <w:t xml:space="preserve"> C</w:t>
      </w:r>
      <w:r w:rsidRPr="00BF6A60">
        <w:rPr>
          <w:rFonts w:eastAsia="SimSun"/>
          <w:sz w:val="28"/>
          <w:szCs w:val="28"/>
          <w:lang w:eastAsia="zh-CN"/>
        </w:rPr>
        <w:t>orrelation matrix among Serotonin levels, Chalfont severity scale, dose of AED levels and Disease duration are not significant. However, Serum Serotonin showed mild negative correlation with Chalfont Severity Scale (r;-0.404, P</w:t>
      </w:r>
      <w:r>
        <w:rPr>
          <w:rFonts w:eastAsia="SimSun"/>
          <w:sz w:val="28"/>
          <w:szCs w:val="28"/>
          <w:lang w:eastAsia="zh-CN"/>
        </w:rPr>
        <w:t>&lt;</w:t>
      </w:r>
      <w:r w:rsidRPr="00BF6A60">
        <w:rPr>
          <w:rFonts w:eastAsia="SimSun"/>
          <w:sz w:val="28"/>
          <w:szCs w:val="28"/>
          <w:lang w:eastAsia="zh-CN"/>
        </w:rPr>
        <w:t>0.062).</w:t>
      </w:r>
    </w:p>
    <w:p w:rsidR="000A3F37" w:rsidRPr="00B576A4" w:rsidRDefault="000A3F37" w:rsidP="000A3F37">
      <w:pPr>
        <w:bidi w:val="0"/>
        <w:spacing w:before="240" w:after="480" w:line="420" w:lineRule="atLeast"/>
        <w:rPr>
          <w:b/>
          <w:bCs/>
          <w:sz w:val="32"/>
          <w:szCs w:val="32"/>
        </w:rPr>
      </w:pPr>
      <w:r w:rsidRPr="00B576A4">
        <w:rPr>
          <w:b/>
          <w:bCs/>
          <w:sz w:val="32"/>
          <w:szCs w:val="32"/>
        </w:rPr>
        <w:t>Discussion:</w:t>
      </w:r>
    </w:p>
    <w:p w:rsidR="000A3F37" w:rsidRPr="00BF6A60" w:rsidRDefault="000A3F37" w:rsidP="00291764">
      <w:pPr>
        <w:bidi w:val="0"/>
        <w:spacing w:before="240" w:line="420" w:lineRule="atLeast"/>
        <w:ind w:firstLine="284"/>
        <w:jc w:val="both"/>
        <w:rPr>
          <w:b/>
          <w:bCs/>
          <w:i/>
          <w:iCs/>
          <w:sz w:val="28"/>
          <w:szCs w:val="28"/>
          <w:lang w:bidi="ar-EG"/>
        </w:rPr>
      </w:pPr>
      <w:r>
        <w:rPr>
          <w:sz w:val="28"/>
          <w:szCs w:val="28"/>
        </w:rPr>
        <w:t>S</w:t>
      </w:r>
      <w:r w:rsidRPr="00BF6A60">
        <w:rPr>
          <w:sz w:val="28"/>
          <w:szCs w:val="28"/>
        </w:rPr>
        <w:t>tud</w:t>
      </w:r>
      <w:r>
        <w:rPr>
          <w:sz w:val="28"/>
          <w:szCs w:val="28"/>
        </w:rPr>
        <w:t>ied children</w:t>
      </w:r>
      <w:r w:rsidRPr="00BF6A60">
        <w:rPr>
          <w:sz w:val="28"/>
          <w:szCs w:val="28"/>
        </w:rPr>
        <w:t xml:space="preserve"> were 60% males and 40% females with a male to female ratio of 1.5:1.These findings coincide with the results of </w:t>
      </w:r>
      <w:r w:rsidRPr="00BF6A60">
        <w:rPr>
          <w:b/>
          <w:bCs/>
          <w:sz w:val="28"/>
          <w:szCs w:val="28"/>
        </w:rPr>
        <w:t>El</w:t>
      </w:r>
      <w:r w:rsidR="00291764">
        <w:rPr>
          <w:b/>
          <w:bCs/>
          <w:sz w:val="28"/>
          <w:szCs w:val="28"/>
        </w:rPr>
        <w:t>-</w:t>
      </w:r>
      <w:proofErr w:type="spellStart"/>
      <w:r w:rsidRPr="00BF6A60">
        <w:rPr>
          <w:b/>
          <w:bCs/>
          <w:sz w:val="28"/>
          <w:szCs w:val="28"/>
        </w:rPr>
        <w:t>Khayat</w:t>
      </w:r>
      <w:proofErr w:type="spellEnd"/>
      <w:r w:rsidRPr="00BF6A60">
        <w:rPr>
          <w:b/>
          <w:bCs/>
          <w:sz w:val="28"/>
          <w:szCs w:val="28"/>
        </w:rPr>
        <w:t xml:space="preserve"> et al. (1994)</w:t>
      </w:r>
      <w:r w:rsidRPr="00BF6A60">
        <w:rPr>
          <w:sz w:val="28"/>
          <w:szCs w:val="28"/>
        </w:rPr>
        <w:t xml:space="preserve"> reported a male to female ratio in primary school children suffering of epilepsy about 1.4:1.</w:t>
      </w:r>
      <w:r w:rsidRPr="00BF6A60">
        <w:rPr>
          <w:i/>
          <w:iCs/>
          <w:sz w:val="28"/>
          <w:szCs w:val="28"/>
        </w:rPr>
        <w:t xml:space="preserve"> </w:t>
      </w:r>
      <w:proofErr w:type="spellStart"/>
      <w:r w:rsidRPr="00BF6A60">
        <w:rPr>
          <w:b/>
          <w:bCs/>
          <w:sz w:val="28"/>
          <w:szCs w:val="28"/>
        </w:rPr>
        <w:t>Luders</w:t>
      </w:r>
      <w:proofErr w:type="spellEnd"/>
      <w:r w:rsidRPr="00BF6A60">
        <w:rPr>
          <w:b/>
          <w:bCs/>
          <w:sz w:val="28"/>
          <w:szCs w:val="28"/>
        </w:rPr>
        <w:t xml:space="preserve"> et al. (2003) </w:t>
      </w:r>
      <w:r w:rsidRPr="00BF6A60">
        <w:rPr>
          <w:sz w:val="28"/>
          <w:szCs w:val="28"/>
        </w:rPr>
        <w:t>found that males were more affected than females.</w:t>
      </w:r>
    </w:p>
    <w:p w:rsidR="000A3F37" w:rsidRPr="00BF6A60" w:rsidRDefault="000A3F37" w:rsidP="00291764">
      <w:pPr>
        <w:bidi w:val="0"/>
        <w:spacing w:before="240" w:line="420" w:lineRule="atLeast"/>
        <w:ind w:firstLine="284"/>
        <w:jc w:val="both"/>
        <w:rPr>
          <w:bCs/>
          <w:color w:val="000000"/>
          <w:sz w:val="28"/>
          <w:szCs w:val="28"/>
        </w:rPr>
      </w:pPr>
      <w:r>
        <w:rPr>
          <w:sz w:val="28"/>
          <w:szCs w:val="28"/>
        </w:rPr>
        <w:t>S</w:t>
      </w:r>
      <w:r w:rsidRPr="00BF6A60">
        <w:rPr>
          <w:sz w:val="28"/>
          <w:szCs w:val="28"/>
        </w:rPr>
        <w:t>tud</w:t>
      </w:r>
      <w:r>
        <w:rPr>
          <w:sz w:val="28"/>
          <w:szCs w:val="28"/>
        </w:rPr>
        <w:t>ied children</w:t>
      </w:r>
      <w:r w:rsidRPr="00BF6A60">
        <w:rPr>
          <w:sz w:val="28"/>
          <w:szCs w:val="28"/>
        </w:rPr>
        <w:t xml:space="preserve"> had an</w:t>
      </w:r>
      <w:r w:rsidRPr="00BF6A60">
        <w:rPr>
          <w:bCs/>
          <w:color w:val="000000"/>
          <w:sz w:val="28"/>
          <w:szCs w:val="28"/>
        </w:rPr>
        <w:t xml:space="preserve"> age range</w:t>
      </w:r>
      <w:r w:rsidR="00291764">
        <w:rPr>
          <w:bCs/>
          <w:color w:val="000000"/>
          <w:sz w:val="28"/>
          <w:szCs w:val="28"/>
        </w:rPr>
        <w:t>d from</w:t>
      </w:r>
      <w:r w:rsidRPr="00BF6A60">
        <w:rPr>
          <w:bCs/>
          <w:color w:val="000000"/>
          <w:sz w:val="28"/>
          <w:szCs w:val="28"/>
        </w:rPr>
        <w:t xml:space="preserve"> 3.5 to 15 years (</w:t>
      </w:r>
      <w:r>
        <w:rPr>
          <w:bCs/>
          <w:color w:val="000000"/>
          <w:sz w:val="28"/>
          <w:szCs w:val="28"/>
        </w:rPr>
        <w:t>M</w:t>
      </w:r>
      <w:r w:rsidRPr="00BF6A60">
        <w:rPr>
          <w:bCs/>
          <w:color w:val="000000"/>
          <w:sz w:val="28"/>
          <w:szCs w:val="28"/>
        </w:rPr>
        <w:t>ean</w:t>
      </w:r>
      <w:r>
        <w:rPr>
          <w:bCs/>
          <w:color w:val="000000"/>
          <w:sz w:val="28"/>
          <w:szCs w:val="28"/>
        </w:rPr>
        <w:t>=</w:t>
      </w:r>
      <w:r w:rsidRPr="00BF6A60">
        <w:rPr>
          <w:bCs/>
          <w:color w:val="000000"/>
          <w:sz w:val="28"/>
          <w:szCs w:val="28"/>
        </w:rPr>
        <w:t xml:space="preserve"> 6.87 </w:t>
      </w:r>
      <w:r w:rsidRPr="00BF6A60">
        <w:rPr>
          <w:bCs/>
          <w:color w:val="000000"/>
          <w:sz w:val="28"/>
          <w:szCs w:val="28"/>
          <w:u w:val="single"/>
        </w:rPr>
        <w:t>+</w:t>
      </w:r>
      <w:r w:rsidRPr="00BF6A60">
        <w:rPr>
          <w:bCs/>
          <w:color w:val="000000"/>
          <w:sz w:val="28"/>
          <w:szCs w:val="28"/>
        </w:rPr>
        <w:t xml:space="preserve"> 2.88 years). This is consistent with t</w:t>
      </w:r>
      <w:r w:rsidRPr="00BF6A60">
        <w:rPr>
          <w:sz w:val="28"/>
          <w:szCs w:val="28"/>
        </w:rPr>
        <w:t xml:space="preserve">he overall incidence of idiopathic childhood epilepsy from birth to 16 years is approximately 4 </w:t>
      </w:r>
      <w:r w:rsidR="00291764">
        <w:rPr>
          <w:sz w:val="28"/>
          <w:szCs w:val="28"/>
        </w:rPr>
        <w:t>/</w:t>
      </w:r>
      <w:r w:rsidRPr="00BF6A60">
        <w:rPr>
          <w:sz w:val="28"/>
          <w:szCs w:val="28"/>
        </w:rPr>
        <w:t xml:space="preserve">10,000 children per year </w:t>
      </w:r>
      <w:r w:rsidRPr="00BF6A60">
        <w:rPr>
          <w:b/>
          <w:bCs/>
          <w:i/>
          <w:iCs/>
          <w:sz w:val="28"/>
          <w:szCs w:val="28"/>
          <w:lang w:bidi="ar-EG"/>
        </w:rPr>
        <w:t>(</w:t>
      </w:r>
      <w:proofErr w:type="spellStart"/>
      <w:r w:rsidRPr="00BF6A60">
        <w:rPr>
          <w:b/>
          <w:bCs/>
          <w:i/>
          <w:iCs/>
          <w:sz w:val="28"/>
          <w:szCs w:val="28"/>
          <w:lang w:bidi="ar-EG"/>
        </w:rPr>
        <w:t>Camfield</w:t>
      </w:r>
      <w:proofErr w:type="spellEnd"/>
      <w:r w:rsidRPr="00BF6A60">
        <w:rPr>
          <w:b/>
          <w:bCs/>
          <w:i/>
          <w:iCs/>
          <w:sz w:val="28"/>
          <w:szCs w:val="28"/>
          <w:lang w:bidi="ar-EG"/>
        </w:rPr>
        <w:t xml:space="preserve"> et al., 1996)</w:t>
      </w:r>
      <w:r w:rsidR="00291764">
        <w:rPr>
          <w:b/>
          <w:bCs/>
          <w:i/>
          <w:iCs/>
          <w:sz w:val="28"/>
          <w:szCs w:val="28"/>
          <w:lang w:bidi="ar-EG"/>
        </w:rPr>
        <w:t>,</w:t>
      </w:r>
      <w:r w:rsidRPr="00BF6A60">
        <w:rPr>
          <w:b/>
          <w:bCs/>
          <w:i/>
          <w:iCs/>
          <w:sz w:val="28"/>
          <w:szCs w:val="28"/>
          <w:lang w:bidi="ar-EG"/>
        </w:rPr>
        <w:t xml:space="preserve"> </w:t>
      </w:r>
      <w:r w:rsidRPr="00BF6A60">
        <w:rPr>
          <w:sz w:val="28"/>
          <w:szCs w:val="28"/>
        </w:rPr>
        <w:t>and 5</w:t>
      </w:r>
      <w:r w:rsidR="00291764">
        <w:rPr>
          <w:sz w:val="28"/>
          <w:szCs w:val="28"/>
        </w:rPr>
        <w:t xml:space="preserve"> to </w:t>
      </w:r>
      <w:r w:rsidRPr="00BF6A60">
        <w:rPr>
          <w:sz w:val="28"/>
          <w:szCs w:val="28"/>
        </w:rPr>
        <w:t xml:space="preserve">7 cases </w:t>
      </w:r>
      <w:r w:rsidR="00291764">
        <w:rPr>
          <w:sz w:val="28"/>
          <w:szCs w:val="28"/>
        </w:rPr>
        <w:t>/</w:t>
      </w:r>
      <w:r w:rsidRPr="00BF6A60">
        <w:rPr>
          <w:sz w:val="28"/>
          <w:szCs w:val="28"/>
        </w:rPr>
        <w:t xml:space="preserve">10,000 children per year </w:t>
      </w:r>
      <w:r w:rsidRPr="00BF6A60">
        <w:rPr>
          <w:b/>
          <w:bCs/>
          <w:i/>
          <w:iCs/>
          <w:sz w:val="28"/>
          <w:szCs w:val="28"/>
          <w:lang w:bidi="ar-EG"/>
        </w:rPr>
        <w:t xml:space="preserve">(Cowan, 2002). </w:t>
      </w:r>
      <w:r w:rsidRPr="00BF6A60">
        <w:rPr>
          <w:sz w:val="28"/>
          <w:szCs w:val="28"/>
        </w:rPr>
        <w:t xml:space="preserve">The incidence in the first year of life is 120 </w:t>
      </w:r>
      <w:r w:rsidR="00291764">
        <w:rPr>
          <w:sz w:val="28"/>
          <w:szCs w:val="28"/>
        </w:rPr>
        <w:t>/</w:t>
      </w:r>
      <w:r w:rsidRPr="00BF6A60">
        <w:rPr>
          <w:sz w:val="28"/>
          <w:szCs w:val="28"/>
        </w:rPr>
        <w:t>100.000</w:t>
      </w:r>
      <w:r w:rsidR="00291764">
        <w:rPr>
          <w:sz w:val="28"/>
          <w:szCs w:val="28"/>
        </w:rPr>
        <w:t>, b</w:t>
      </w:r>
      <w:r w:rsidRPr="00BF6A60">
        <w:rPr>
          <w:sz w:val="28"/>
          <w:szCs w:val="28"/>
        </w:rPr>
        <w:t>etween one and ten years of age, the incidence is 40-50</w:t>
      </w:r>
      <w:r w:rsidR="00291764">
        <w:rPr>
          <w:sz w:val="28"/>
          <w:szCs w:val="28"/>
        </w:rPr>
        <w:t>/</w:t>
      </w:r>
      <w:r w:rsidRPr="00BF6A60">
        <w:rPr>
          <w:sz w:val="28"/>
          <w:szCs w:val="28"/>
        </w:rPr>
        <w:t xml:space="preserve"> 100.000 and then drops in the older </w:t>
      </w:r>
      <w:proofErr w:type="gramStart"/>
      <w:r w:rsidRPr="00BF6A60">
        <w:rPr>
          <w:sz w:val="28"/>
          <w:szCs w:val="28"/>
        </w:rPr>
        <w:t>ages</w:t>
      </w:r>
      <w:r w:rsidRPr="00BF6A60">
        <w:rPr>
          <w:b/>
          <w:bCs/>
          <w:i/>
          <w:iCs/>
          <w:sz w:val="28"/>
          <w:szCs w:val="28"/>
          <w:lang w:bidi="ar-EG"/>
        </w:rPr>
        <w:t>(</w:t>
      </w:r>
      <w:proofErr w:type="gramEnd"/>
      <w:r w:rsidRPr="00BF6A60">
        <w:rPr>
          <w:b/>
          <w:bCs/>
          <w:i/>
          <w:iCs/>
          <w:sz w:val="28"/>
          <w:szCs w:val="28"/>
          <w:lang w:bidi="ar-EG"/>
        </w:rPr>
        <w:t xml:space="preserve">Hauser and </w:t>
      </w:r>
      <w:proofErr w:type="spellStart"/>
      <w:r w:rsidRPr="00BF6A60">
        <w:rPr>
          <w:b/>
          <w:bCs/>
          <w:i/>
          <w:iCs/>
          <w:sz w:val="28"/>
          <w:szCs w:val="28"/>
          <w:lang w:bidi="ar-EG"/>
        </w:rPr>
        <w:t>Hesdorfer</w:t>
      </w:r>
      <w:proofErr w:type="spellEnd"/>
      <w:r w:rsidRPr="00BF6A60">
        <w:rPr>
          <w:b/>
          <w:bCs/>
          <w:i/>
          <w:iCs/>
          <w:sz w:val="28"/>
          <w:szCs w:val="28"/>
          <w:lang w:bidi="ar-EG"/>
        </w:rPr>
        <w:t xml:space="preserve">, 1990). </w:t>
      </w:r>
      <w:r w:rsidRPr="00BF6A60">
        <w:rPr>
          <w:sz w:val="28"/>
          <w:szCs w:val="28"/>
        </w:rPr>
        <w:t xml:space="preserve">The cumulative lifetime incidence of epilepsy is 3% and more than half of cases begin in childhood </w:t>
      </w:r>
      <w:r w:rsidRPr="00BF6A60">
        <w:rPr>
          <w:b/>
          <w:bCs/>
          <w:i/>
          <w:iCs/>
          <w:sz w:val="28"/>
          <w:szCs w:val="28"/>
          <w:lang w:bidi="ar-EG"/>
        </w:rPr>
        <w:t xml:space="preserve">(Johnston, 2008). </w:t>
      </w:r>
      <w:r w:rsidRPr="00BF6A60">
        <w:rPr>
          <w:sz w:val="28"/>
          <w:szCs w:val="28"/>
        </w:rPr>
        <w:t xml:space="preserve">It is estimated that 0.5-1% of all children have epilepsy, with the majority presenting during infancy or early childhood </w:t>
      </w:r>
      <w:r w:rsidRPr="00BF6A60">
        <w:rPr>
          <w:b/>
          <w:bCs/>
          <w:i/>
          <w:iCs/>
          <w:sz w:val="28"/>
          <w:szCs w:val="28"/>
        </w:rPr>
        <w:t>(</w:t>
      </w:r>
      <w:proofErr w:type="spellStart"/>
      <w:r w:rsidRPr="00BF6A60">
        <w:rPr>
          <w:b/>
          <w:bCs/>
          <w:i/>
          <w:iCs/>
          <w:sz w:val="28"/>
          <w:szCs w:val="28"/>
        </w:rPr>
        <w:t>Ottman</w:t>
      </w:r>
      <w:proofErr w:type="spellEnd"/>
      <w:r w:rsidRPr="00BF6A60">
        <w:rPr>
          <w:b/>
          <w:bCs/>
          <w:i/>
          <w:iCs/>
          <w:sz w:val="28"/>
          <w:szCs w:val="28"/>
        </w:rPr>
        <w:t>, 2001).</w:t>
      </w:r>
      <w:r w:rsidRPr="00BF6A60">
        <w:rPr>
          <w:sz w:val="28"/>
          <w:szCs w:val="28"/>
        </w:rPr>
        <w:t xml:space="preserve"> </w:t>
      </w:r>
    </w:p>
    <w:p w:rsidR="000A3F37" w:rsidRPr="00BF6A60" w:rsidRDefault="000A3F37" w:rsidP="000A3F37">
      <w:pPr>
        <w:bidi w:val="0"/>
        <w:spacing w:before="240" w:line="420" w:lineRule="atLeast"/>
        <w:ind w:firstLine="426"/>
        <w:jc w:val="both"/>
        <w:rPr>
          <w:b/>
          <w:bCs/>
          <w:i/>
          <w:iCs/>
          <w:sz w:val="28"/>
          <w:szCs w:val="28"/>
          <w:lang w:bidi="ar-EG"/>
        </w:rPr>
      </w:pPr>
      <w:r>
        <w:rPr>
          <w:sz w:val="28"/>
          <w:szCs w:val="28"/>
        </w:rPr>
        <w:t>The</w:t>
      </w:r>
      <w:r w:rsidRPr="00BF6A60">
        <w:rPr>
          <w:sz w:val="28"/>
          <w:szCs w:val="28"/>
        </w:rPr>
        <w:t xml:space="preserve"> current study showed that there was a positive family History in 6.6% of </w:t>
      </w:r>
      <w:r>
        <w:rPr>
          <w:sz w:val="28"/>
          <w:szCs w:val="28"/>
        </w:rPr>
        <w:t>s</w:t>
      </w:r>
      <w:r w:rsidRPr="00BF6A60">
        <w:rPr>
          <w:sz w:val="28"/>
          <w:szCs w:val="28"/>
        </w:rPr>
        <w:t>tud</w:t>
      </w:r>
      <w:r>
        <w:rPr>
          <w:sz w:val="28"/>
          <w:szCs w:val="28"/>
        </w:rPr>
        <w:t>ied children,</w:t>
      </w:r>
      <w:r w:rsidRPr="00BF6A60">
        <w:rPr>
          <w:sz w:val="28"/>
          <w:szCs w:val="28"/>
        </w:rPr>
        <w:t xml:space="preserve"> this is consistent with </w:t>
      </w:r>
      <w:r w:rsidRPr="00BF6A60">
        <w:rPr>
          <w:b/>
          <w:bCs/>
          <w:sz w:val="28"/>
          <w:szCs w:val="28"/>
        </w:rPr>
        <w:t>Panayiotopoulos</w:t>
      </w:r>
      <w:r w:rsidRPr="00BF6A60">
        <w:rPr>
          <w:b/>
          <w:bCs/>
          <w:color w:val="000000"/>
          <w:sz w:val="28"/>
          <w:szCs w:val="28"/>
        </w:rPr>
        <w:t xml:space="preserve"> (</w:t>
      </w:r>
      <w:r w:rsidRPr="00BF6A60">
        <w:rPr>
          <w:b/>
          <w:bCs/>
          <w:sz w:val="28"/>
          <w:szCs w:val="28"/>
        </w:rPr>
        <w:t>2005</w:t>
      </w:r>
      <w:r w:rsidRPr="00BF6A60">
        <w:rPr>
          <w:b/>
          <w:bCs/>
          <w:color w:val="000000"/>
          <w:sz w:val="28"/>
          <w:szCs w:val="28"/>
        </w:rPr>
        <w:t>)</w:t>
      </w:r>
      <w:r w:rsidRPr="00BF6A60">
        <w:rPr>
          <w:b/>
          <w:bCs/>
          <w:i/>
          <w:iCs/>
          <w:sz w:val="28"/>
          <w:szCs w:val="28"/>
        </w:rPr>
        <w:t xml:space="preserve"> </w:t>
      </w:r>
      <w:r w:rsidRPr="00BF6A60">
        <w:rPr>
          <w:sz w:val="28"/>
          <w:szCs w:val="28"/>
        </w:rPr>
        <w:t>who mentioned that idiopathic epilepsy is epilepsy of predominantly genetic origin and in which there are no gross neuroanatomical and/or neuropathological abnormalities</w:t>
      </w:r>
      <w:r w:rsidRPr="00BF6A60">
        <w:rPr>
          <w:b/>
          <w:bCs/>
          <w:i/>
          <w:iCs/>
          <w:sz w:val="28"/>
          <w:szCs w:val="28"/>
        </w:rPr>
        <w:t>.</w:t>
      </w:r>
      <w:r w:rsidRPr="00BF6A60">
        <w:rPr>
          <w:sz w:val="28"/>
          <w:szCs w:val="28"/>
        </w:rPr>
        <w:t xml:space="preserve"> It has been known for a long time that genetic factors play a major role in the etiology of idiopathic epilepsy</w:t>
      </w:r>
      <w:r w:rsidRPr="00BF6A60">
        <w:rPr>
          <w:b/>
          <w:bCs/>
          <w:i/>
          <w:iCs/>
          <w:sz w:val="28"/>
          <w:szCs w:val="28"/>
          <w:lang w:bidi="ar-EG"/>
        </w:rPr>
        <w:t>.</w:t>
      </w:r>
    </w:p>
    <w:p w:rsidR="000A3F37" w:rsidRPr="00BF6A60" w:rsidRDefault="000A3F37" w:rsidP="000A3F37">
      <w:pPr>
        <w:bidi w:val="0"/>
        <w:spacing w:before="240" w:line="420" w:lineRule="atLeast"/>
        <w:ind w:firstLine="284"/>
        <w:jc w:val="both"/>
        <w:rPr>
          <w:bCs/>
          <w:color w:val="000000"/>
          <w:sz w:val="28"/>
          <w:szCs w:val="28"/>
        </w:rPr>
      </w:pPr>
      <w:r>
        <w:rPr>
          <w:bCs/>
          <w:color w:val="000000"/>
          <w:sz w:val="28"/>
          <w:szCs w:val="28"/>
        </w:rPr>
        <w:t>R</w:t>
      </w:r>
      <w:r w:rsidRPr="00BF6A60">
        <w:rPr>
          <w:bCs/>
          <w:color w:val="000000"/>
          <w:sz w:val="28"/>
          <w:szCs w:val="28"/>
        </w:rPr>
        <w:t>esults</w:t>
      </w:r>
      <w:r>
        <w:rPr>
          <w:bCs/>
          <w:color w:val="000000"/>
          <w:sz w:val="28"/>
          <w:szCs w:val="28"/>
        </w:rPr>
        <w:t xml:space="preserve"> of the present study</w:t>
      </w:r>
      <w:r w:rsidRPr="00BF6A60">
        <w:rPr>
          <w:bCs/>
          <w:color w:val="000000"/>
          <w:sz w:val="28"/>
          <w:szCs w:val="28"/>
        </w:rPr>
        <w:t xml:space="preserve"> showed that most of </w:t>
      </w:r>
      <w:r>
        <w:rPr>
          <w:bCs/>
          <w:color w:val="000000"/>
          <w:sz w:val="28"/>
          <w:szCs w:val="28"/>
        </w:rPr>
        <w:t>children</w:t>
      </w:r>
      <w:r w:rsidRPr="00BF6A60">
        <w:rPr>
          <w:bCs/>
          <w:color w:val="000000"/>
          <w:sz w:val="28"/>
          <w:szCs w:val="28"/>
        </w:rPr>
        <w:t xml:space="preserve"> (80%) had</w:t>
      </w:r>
      <w:r w:rsidRPr="00BF6A60">
        <w:rPr>
          <w:sz w:val="28"/>
          <w:szCs w:val="28"/>
        </w:rPr>
        <w:t xml:space="preserve"> generalized tonic clonic </w:t>
      </w:r>
      <w:r w:rsidRPr="00BF6A60">
        <w:rPr>
          <w:bCs/>
          <w:color w:val="000000"/>
          <w:sz w:val="28"/>
          <w:szCs w:val="28"/>
        </w:rPr>
        <w:t>(GTCS) while 20% had focal convulsions; 6.67 % out of them had focal convulsions with secondary generalization. This is in concordance with</w:t>
      </w:r>
      <w:r w:rsidRPr="00BF6A60">
        <w:rPr>
          <w:b/>
          <w:bCs/>
          <w:i/>
          <w:iCs/>
          <w:sz w:val="28"/>
          <w:szCs w:val="28"/>
        </w:rPr>
        <w:t xml:space="preserve"> </w:t>
      </w:r>
      <w:proofErr w:type="spellStart"/>
      <w:r w:rsidRPr="00BF6A60">
        <w:rPr>
          <w:b/>
          <w:bCs/>
          <w:sz w:val="28"/>
          <w:szCs w:val="28"/>
        </w:rPr>
        <w:t>Kotsopoulos</w:t>
      </w:r>
      <w:proofErr w:type="spellEnd"/>
      <w:r w:rsidRPr="00BF6A60">
        <w:rPr>
          <w:b/>
          <w:bCs/>
          <w:sz w:val="28"/>
          <w:szCs w:val="28"/>
        </w:rPr>
        <w:t xml:space="preserve"> et al. (2002</w:t>
      </w:r>
      <w:r w:rsidRPr="00BF6A60">
        <w:rPr>
          <w:bCs/>
          <w:color w:val="000000"/>
          <w:sz w:val="28"/>
          <w:szCs w:val="28"/>
        </w:rPr>
        <w:t xml:space="preserve">) </w:t>
      </w:r>
      <w:r w:rsidRPr="00BF6A60">
        <w:rPr>
          <w:sz w:val="28"/>
          <w:szCs w:val="28"/>
        </w:rPr>
        <w:t xml:space="preserve">who reported that </w:t>
      </w:r>
      <w:r w:rsidRPr="00BF6A60">
        <w:rPr>
          <w:bCs/>
          <w:color w:val="000000"/>
          <w:sz w:val="28"/>
          <w:szCs w:val="28"/>
        </w:rPr>
        <w:t xml:space="preserve">GTCS </w:t>
      </w:r>
      <w:r w:rsidRPr="00BF6A60">
        <w:rPr>
          <w:sz w:val="28"/>
          <w:szCs w:val="28"/>
        </w:rPr>
        <w:t xml:space="preserve">or various types of partial seizures dominate </w:t>
      </w:r>
      <w:r w:rsidRPr="00BF6A60">
        <w:rPr>
          <w:sz w:val="28"/>
          <w:szCs w:val="28"/>
        </w:rPr>
        <w:lastRenderedPageBreak/>
        <w:t>about 75% of childhood epilepsy syndromes. Absence epilepsy accounts for approximately 15%, and other generalized epilepsies account for only 10</w:t>
      </w:r>
      <w:r w:rsidRPr="00BF6A60">
        <w:rPr>
          <w:b/>
          <w:bCs/>
          <w:i/>
          <w:iCs/>
          <w:sz w:val="28"/>
          <w:szCs w:val="28"/>
        </w:rPr>
        <w:t>%</w:t>
      </w:r>
      <w:r w:rsidRPr="00BF6A60">
        <w:rPr>
          <w:sz w:val="28"/>
          <w:szCs w:val="28"/>
        </w:rPr>
        <w:t>.</w:t>
      </w:r>
    </w:p>
    <w:p w:rsidR="000A3F37" w:rsidRPr="00BF6A60" w:rsidRDefault="000A3F37" w:rsidP="000A3F37">
      <w:pPr>
        <w:bidi w:val="0"/>
        <w:spacing w:before="240" w:line="420" w:lineRule="atLeast"/>
        <w:ind w:firstLine="284"/>
        <w:jc w:val="both"/>
        <w:rPr>
          <w:color w:val="000000"/>
          <w:sz w:val="28"/>
          <w:szCs w:val="28"/>
        </w:rPr>
      </w:pPr>
      <w:r>
        <w:rPr>
          <w:bCs/>
          <w:color w:val="000000"/>
          <w:sz w:val="28"/>
          <w:szCs w:val="28"/>
        </w:rPr>
        <w:t>The present study</w:t>
      </w:r>
      <w:r w:rsidRPr="00BF6A60">
        <w:rPr>
          <w:bCs/>
          <w:color w:val="000000"/>
          <w:sz w:val="28"/>
          <w:szCs w:val="28"/>
        </w:rPr>
        <w:t xml:space="preserve"> </w:t>
      </w:r>
      <w:r w:rsidRPr="00BF6A60">
        <w:rPr>
          <w:color w:val="000000"/>
          <w:sz w:val="28"/>
          <w:szCs w:val="28"/>
        </w:rPr>
        <w:t xml:space="preserve">showed that most of </w:t>
      </w:r>
      <w:r>
        <w:rPr>
          <w:color w:val="000000"/>
          <w:sz w:val="28"/>
          <w:szCs w:val="28"/>
        </w:rPr>
        <w:t>children</w:t>
      </w:r>
      <w:r w:rsidRPr="00BF6A60">
        <w:rPr>
          <w:color w:val="000000"/>
          <w:sz w:val="28"/>
          <w:szCs w:val="28"/>
        </w:rPr>
        <w:t xml:space="preserve"> were clinically responsive on monotherapy for the whole period of the study, this is evidenced by</w:t>
      </w:r>
      <w:r w:rsidRPr="00BF6A60">
        <w:rPr>
          <w:sz w:val="28"/>
          <w:szCs w:val="28"/>
        </w:rPr>
        <w:t xml:space="preserve"> the significant good response to AED in idiopathic epileptic patients since the increase in the time intervals from the time of last seizure (P&gt;0.001)</w:t>
      </w:r>
      <w:r w:rsidRPr="00BF6A60">
        <w:rPr>
          <w:color w:val="000000"/>
          <w:sz w:val="28"/>
          <w:szCs w:val="28"/>
        </w:rPr>
        <w:t xml:space="preserve"> throughout the whole </w:t>
      </w:r>
      <w:proofErr w:type="spellStart"/>
      <w:r w:rsidRPr="00BF6A60">
        <w:rPr>
          <w:color w:val="000000"/>
          <w:sz w:val="28"/>
          <w:szCs w:val="28"/>
        </w:rPr>
        <w:t>study.This</w:t>
      </w:r>
      <w:proofErr w:type="spellEnd"/>
      <w:r w:rsidRPr="00BF6A60">
        <w:rPr>
          <w:color w:val="000000"/>
          <w:sz w:val="28"/>
          <w:szCs w:val="28"/>
        </w:rPr>
        <w:t xml:space="preserve"> is in agreement with </w:t>
      </w:r>
      <w:proofErr w:type="spellStart"/>
      <w:r w:rsidRPr="00BF6A60">
        <w:rPr>
          <w:b/>
          <w:bCs/>
          <w:color w:val="000000"/>
          <w:sz w:val="28"/>
          <w:szCs w:val="28"/>
        </w:rPr>
        <w:t>Benbadis</w:t>
      </w:r>
      <w:proofErr w:type="spellEnd"/>
      <w:r w:rsidRPr="00BF6A60">
        <w:rPr>
          <w:b/>
          <w:bCs/>
          <w:color w:val="000000"/>
          <w:sz w:val="28"/>
          <w:szCs w:val="28"/>
        </w:rPr>
        <w:t xml:space="preserve"> (200</w:t>
      </w:r>
      <w:r>
        <w:rPr>
          <w:b/>
          <w:bCs/>
          <w:color w:val="000000"/>
          <w:sz w:val="28"/>
          <w:szCs w:val="28"/>
        </w:rPr>
        <w:t>6</w:t>
      </w:r>
      <w:r w:rsidRPr="00BF6A60">
        <w:rPr>
          <w:b/>
          <w:bCs/>
          <w:color w:val="000000"/>
          <w:sz w:val="28"/>
          <w:szCs w:val="28"/>
        </w:rPr>
        <w:t xml:space="preserve">), </w:t>
      </w:r>
      <w:r w:rsidRPr="00BF6A60">
        <w:rPr>
          <w:color w:val="000000"/>
          <w:sz w:val="28"/>
          <w:szCs w:val="28"/>
        </w:rPr>
        <w:t xml:space="preserve">who demonstrated that monotherapy was effective in 80 to 90 percent of idiopathic generalized epilepsy (IGE) and that the response often occurs at relatively low doses of these medications. </w:t>
      </w:r>
    </w:p>
    <w:p w:rsidR="000A3F37" w:rsidRPr="00BF6A60" w:rsidRDefault="000A3F37" w:rsidP="00FB6F58">
      <w:pPr>
        <w:bidi w:val="0"/>
        <w:spacing w:before="240" w:line="420" w:lineRule="atLeast"/>
        <w:ind w:firstLine="284"/>
        <w:jc w:val="both"/>
        <w:rPr>
          <w:sz w:val="28"/>
          <w:szCs w:val="28"/>
        </w:rPr>
      </w:pPr>
      <w:r w:rsidRPr="00BF6A60">
        <w:rPr>
          <w:sz w:val="28"/>
          <w:szCs w:val="28"/>
        </w:rPr>
        <w:t>In addition</w:t>
      </w:r>
      <w:proofErr w:type="gramStart"/>
      <w:r w:rsidRPr="00BF6A60">
        <w:rPr>
          <w:sz w:val="28"/>
          <w:szCs w:val="28"/>
        </w:rPr>
        <w:t>,  results</w:t>
      </w:r>
      <w:proofErr w:type="gramEnd"/>
      <w:r>
        <w:rPr>
          <w:sz w:val="28"/>
          <w:szCs w:val="28"/>
        </w:rPr>
        <w:t xml:space="preserve"> of </w:t>
      </w:r>
      <w:r>
        <w:rPr>
          <w:bCs/>
          <w:color w:val="000000"/>
          <w:sz w:val="28"/>
          <w:szCs w:val="28"/>
        </w:rPr>
        <w:t>the present study</w:t>
      </w:r>
      <w:r w:rsidRPr="00BF6A60">
        <w:rPr>
          <w:sz w:val="28"/>
          <w:szCs w:val="28"/>
        </w:rPr>
        <w:t xml:space="preserve"> showed that Chalfont severity score dramatically decreased with further follow throughout all stages of the study (0, 3</w:t>
      </w:r>
      <w:r w:rsidR="00FB6F58">
        <w:rPr>
          <w:sz w:val="28"/>
          <w:szCs w:val="28"/>
        </w:rPr>
        <w:t>and</w:t>
      </w:r>
      <w:r w:rsidRPr="00BF6A60">
        <w:rPr>
          <w:sz w:val="28"/>
          <w:szCs w:val="28"/>
        </w:rPr>
        <w:t xml:space="preserve"> 5 months) indicating that seizure severity is decreasing by time and that our patients were better controlled and responsive to AEDs.</w:t>
      </w:r>
    </w:p>
    <w:p w:rsidR="000A3F37" w:rsidRPr="00BF6A60" w:rsidRDefault="000A3F37" w:rsidP="000A3F37">
      <w:pPr>
        <w:bidi w:val="0"/>
        <w:spacing w:before="240" w:line="420" w:lineRule="atLeast"/>
        <w:ind w:firstLine="284"/>
        <w:jc w:val="both"/>
        <w:rPr>
          <w:sz w:val="28"/>
          <w:szCs w:val="28"/>
        </w:rPr>
      </w:pPr>
      <w:r w:rsidRPr="00BF6A60">
        <w:rPr>
          <w:color w:val="000000"/>
          <w:sz w:val="28"/>
          <w:szCs w:val="28"/>
        </w:rPr>
        <w:t>In the mean time; this is reflected on the "last seizure" in days as a marker of controllability which is subsequently increased from a median of 6 - 65 to 110 days</w:t>
      </w:r>
      <w:r>
        <w:rPr>
          <w:color w:val="000000"/>
          <w:sz w:val="28"/>
          <w:szCs w:val="28"/>
        </w:rPr>
        <w:t xml:space="preserve"> (</w:t>
      </w:r>
      <w:r>
        <w:rPr>
          <w:sz w:val="28"/>
          <w:szCs w:val="28"/>
        </w:rPr>
        <w:t>P</w:t>
      </w:r>
      <w:r w:rsidRPr="00BF6A60">
        <w:rPr>
          <w:sz w:val="28"/>
          <w:szCs w:val="28"/>
        </w:rPr>
        <w:t xml:space="preserve"> &lt;0.05</w:t>
      </w:r>
      <w:r>
        <w:rPr>
          <w:sz w:val="28"/>
          <w:szCs w:val="28"/>
        </w:rPr>
        <w:t xml:space="preserve">), </w:t>
      </w:r>
      <w:r w:rsidRPr="00BF6A60">
        <w:rPr>
          <w:sz w:val="28"/>
          <w:szCs w:val="28"/>
        </w:rPr>
        <w:t xml:space="preserve"> and this agrees with </w:t>
      </w:r>
      <w:r w:rsidRPr="00BF6A60">
        <w:rPr>
          <w:b/>
          <w:bCs/>
          <w:i/>
          <w:iCs/>
          <w:sz w:val="28"/>
          <w:szCs w:val="28"/>
        </w:rPr>
        <w:t>Berg and his colleagues</w:t>
      </w:r>
      <w:r w:rsidRPr="00BF6A60">
        <w:rPr>
          <w:sz w:val="28"/>
          <w:szCs w:val="28"/>
        </w:rPr>
        <w:t xml:space="preserve"> in 2010 who mentioned that idiopathic epilepsy is pharmacoresponsive.</w:t>
      </w:r>
    </w:p>
    <w:p w:rsidR="000A3F37" w:rsidRPr="00BF6A60" w:rsidRDefault="000A3F37" w:rsidP="000A3F37">
      <w:pPr>
        <w:bidi w:val="0"/>
        <w:spacing w:before="240" w:line="420" w:lineRule="atLeast"/>
        <w:ind w:firstLine="284"/>
        <w:jc w:val="both"/>
        <w:rPr>
          <w:color w:val="000000"/>
          <w:sz w:val="28"/>
          <w:szCs w:val="28"/>
        </w:rPr>
      </w:pPr>
      <w:r>
        <w:rPr>
          <w:sz w:val="28"/>
          <w:szCs w:val="28"/>
        </w:rPr>
        <w:t>R</w:t>
      </w:r>
      <w:r w:rsidRPr="00BF6A60">
        <w:rPr>
          <w:sz w:val="28"/>
          <w:szCs w:val="28"/>
        </w:rPr>
        <w:t>esults</w:t>
      </w:r>
      <w:r>
        <w:rPr>
          <w:sz w:val="28"/>
          <w:szCs w:val="28"/>
        </w:rPr>
        <w:t xml:space="preserve"> of </w:t>
      </w:r>
      <w:r>
        <w:rPr>
          <w:bCs/>
          <w:color w:val="000000"/>
          <w:sz w:val="28"/>
          <w:szCs w:val="28"/>
        </w:rPr>
        <w:t>the present study</w:t>
      </w:r>
      <w:r w:rsidRPr="00BF6A60">
        <w:rPr>
          <w:sz w:val="28"/>
          <w:szCs w:val="28"/>
        </w:rPr>
        <w:t xml:space="preserve"> showed that most of the patients (73.3%) were on valproate as a monotherapy</w:t>
      </w:r>
      <w:r w:rsidRPr="00BF6A60">
        <w:rPr>
          <w:color w:val="000000"/>
          <w:sz w:val="28"/>
          <w:szCs w:val="28"/>
        </w:rPr>
        <w:t>.</w:t>
      </w:r>
      <w:r w:rsidRPr="00BF6A60">
        <w:rPr>
          <w:sz w:val="28"/>
          <w:szCs w:val="28"/>
        </w:rPr>
        <w:t xml:space="preserve"> This is in agreement with </w:t>
      </w:r>
      <w:proofErr w:type="spellStart"/>
      <w:r w:rsidRPr="00BF6A60">
        <w:rPr>
          <w:b/>
          <w:bCs/>
          <w:sz w:val="28"/>
          <w:szCs w:val="28"/>
        </w:rPr>
        <w:t>Benbadis</w:t>
      </w:r>
      <w:proofErr w:type="spellEnd"/>
      <w:r w:rsidRPr="00BF6A60">
        <w:rPr>
          <w:b/>
          <w:bCs/>
          <w:sz w:val="28"/>
          <w:szCs w:val="28"/>
        </w:rPr>
        <w:t xml:space="preserve"> et al. (200</w:t>
      </w:r>
      <w:r>
        <w:rPr>
          <w:b/>
          <w:bCs/>
          <w:sz w:val="28"/>
          <w:szCs w:val="28"/>
        </w:rPr>
        <w:t>6</w:t>
      </w:r>
      <w:r w:rsidRPr="00BF6A60">
        <w:rPr>
          <w:b/>
          <w:bCs/>
          <w:sz w:val="28"/>
          <w:szCs w:val="28"/>
        </w:rPr>
        <w:t>),</w:t>
      </w:r>
      <w:r w:rsidRPr="00BF6A60">
        <w:rPr>
          <w:sz w:val="28"/>
          <w:szCs w:val="28"/>
        </w:rPr>
        <w:t xml:space="preserve"> who reported that valproate is considered the "first line" choice for treatment in </w:t>
      </w:r>
      <w:r w:rsidRPr="00BF6A60">
        <w:rPr>
          <w:color w:val="000000"/>
          <w:sz w:val="28"/>
          <w:szCs w:val="28"/>
        </w:rPr>
        <w:t>idiopathic generalized epilepsy (IGE)</w:t>
      </w:r>
    </w:p>
    <w:p w:rsidR="000A3F37" w:rsidRPr="00BF6A60" w:rsidRDefault="000A3F37" w:rsidP="000A3F37">
      <w:pPr>
        <w:bidi w:val="0"/>
        <w:spacing w:before="240" w:line="420" w:lineRule="atLeast"/>
        <w:ind w:firstLine="720"/>
        <w:jc w:val="both"/>
        <w:rPr>
          <w:sz w:val="28"/>
          <w:szCs w:val="28"/>
        </w:rPr>
      </w:pPr>
      <w:r w:rsidRPr="00BF6A60">
        <w:rPr>
          <w:sz w:val="28"/>
          <w:szCs w:val="28"/>
        </w:rPr>
        <w:t xml:space="preserve">Those patients who are on valproate had a serotonin level at o month of 38ng/ml, with an initial increase up to 65ng/ml in the 3 month follow up; to explain these results, two hypotheses are proposed: an inhibiting effect of anticonvulsant drugs on 5-HT catabolizing enzymes, or an increased tryptophan in CNS/tryptophan in the blood ratio, induced by therapy). But later on, after the 5th month it declined (50ng/ml) but not reaching the original level. </w:t>
      </w:r>
    </w:p>
    <w:p w:rsidR="000A3F37" w:rsidRPr="00BF6A60" w:rsidRDefault="000A3F37" w:rsidP="00FB6F58">
      <w:pPr>
        <w:bidi w:val="0"/>
        <w:spacing w:before="240" w:line="420" w:lineRule="atLeast"/>
        <w:ind w:firstLine="284"/>
        <w:jc w:val="both"/>
        <w:rPr>
          <w:sz w:val="28"/>
          <w:szCs w:val="28"/>
        </w:rPr>
      </w:pPr>
      <w:r w:rsidRPr="00BF6A60">
        <w:rPr>
          <w:sz w:val="28"/>
          <w:szCs w:val="28"/>
        </w:rPr>
        <w:t xml:space="preserve">These findings are inconsistent with the study of </w:t>
      </w:r>
      <w:proofErr w:type="spellStart"/>
      <w:r w:rsidRPr="00BF6A60">
        <w:rPr>
          <w:b/>
          <w:bCs/>
          <w:sz w:val="28"/>
          <w:szCs w:val="28"/>
        </w:rPr>
        <w:t>Chiodi</w:t>
      </w:r>
      <w:proofErr w:type="spellEnd"/>
      <w:r w:rsidRPr="00BF6A60">
        <w:rPr>
          <w:b/>
          <w:bCs/>
          <w:sz w:val="28"/>
          <w:szCs w:val="28"/>
        </w:rPr>
        <w:t xml:space="preserve"> et al</w:t>
      </w:r>
      <w:proofErr w:type="gramStart"/>
      <w:r w:rsidRPr="00BF6A60">
        <w:rPr>
          <w:b/>
          <w:bCs/>
          <w:sz w:val="28"/>
          <w:szCs w:val="28"/>
        </w:rPr>
        <w:t>.(</w:t>
      </w:r>
      <w:proofErr w:type="gramEnd"/>
      <w:r w:rsidRPr="00BF6A60">
        <w:rPr>
          <w:b/>
          <w:bCs/>
          <w:sz w:val="28"/>
          <w:szCs w:val="28"/>
        </w:rPr>
        <w:t>1981);</w:t>
      </w:r>
      <w:r w:rsidRPr="00BF6A60">
        <w:rPr>
          <w:sz w:val="28"/>
          <w:szCs w:val="28"/>
        </w:rPr>
        <w:t xml:space="preserve"> who studied serotonin level in a 32 epileptic patients, receiving anticonvulsant therapy compared to </w:t>
      </w:r>
      <w:r w:rsidRPr="00BF6A60">
        <w:rPr>
          <w:sz w:val="28"/>
          <w:szCs w:val="28"/>
        </w:rPr>
        <w:lastRenderedPageBreak/>
        <w:t>normal controls. They found that 5-HT blood levels in epileptics were significantly decreased in the second measurement probably in consequence to the use of anticonvulsant drugs. Moreover 5-HT blood levels decreased more outstandingly in those patients who were treated with more than one anticonvulsant drug.</w:t>
      </w:r>
    </w:p>
    <w:p w:rsidR="000A3F37" w:rsidRPr="00BF6A60" w:rsidRDefault="000A3F37" w:rsidP="000A3F37">
      <w:pPr>
        <w:bidi w:val="0"/>
        <w:spacing w:before="240" w:line="420" w:lineRule="atLeast"/>
        <w:ind w:firstLine="284"/>
        <w:jc w:val="both"/>
        <w:rPr>
          <w:color w:val="000000"/>
          <w:sz w:val="28"/>
          <w:szCs w:val="28"/>
        </w:rPr>
      </w:pPr>
      <w:r w:rsidRPr="00BF6A60">
        <w:rPr>
          <w:color w:val="000000"/>
          <w:sz w:val="28"/>
          <w:szCs w:val="28"/>
        </w:rPr>
        <w:t xml:space="preserve">Regarding the patients who were on carbamazepine </w:t>
      </w:r>
      <w:r w:rsidRPr="00BF6A60">
        <w:rPr>
          <w:sz w:val="28"/>
          <w:szCs w:val="28"/>
        </w:rPr>
        <w:t>had a serotonin level at o month of 55ng/ml, with an initial increase up to 65ng/ml in the 3 month follow up but later on the 5th month it declined (22ng/ml) even lower than the original level</w:t>
      </w:r>
      <w:r w:rsidRPr="00BF6A60">
        <w:rPr>
          <w:color w:val="000000"/>
          <w:sz w:val="28"/>
          <w:szCs w:val="28"/>
        </w:rPr>
        <w:t xml:space="preserve">. These findings are partially supported by </w:t>
      </w:r>
      <w:r w:rsidRPr="00BF6A60">
        <w:rPr>
          <w:b/>
          <w:bCs/>
          <w:color w:val="000000"/>
          <w:sz w:val="28"/>
          <w:szCs w:val="28"/>
        </w:rPr>
        <w:t>Dailey et al. (1997)</w:t>
      </w:r>
      <w:r w:rsidRPr="00BF6A60">
        <w:rPr>
          <w:color w:val="000000"/>
          <w:sz w:val="28"/>
          <w:szCs w:val="28"/>
        </w:rPr>
        <w:t xml:space="preserve"> claiming that carbamazepine releases serotonin as part of the pharmacodynamic action by which it suppresses convulsions in GEPRs and it releases serotonin in non-epileptic Sprague-</w:t>
      </w:r>
      <w:proofErr w:type="spellStart"/>
      <w:r w:rsidRPr="00BF6A60">
        <w:rPr>
          <w:color w:val="000000"/>
          <w:sz w:val="28"/>
          <w:szCs w:val="28"/>
        </w:rPr>
        <w:t>Dawley</w:t>
      </w:r>
      <w:proofErr w:type="spellEnd"/>
      <w:r w:rsidRPr="00BF6A60">
        <w:rPr>
          <w:color w:val="000000"/>
          <w:sz w:val="28"/>
          <w:szCs w:val="28"/>
        </w:rPr>
        <w:t xml:space="preserve"> rats. Trying to explain why did the serotonin level decrease that much to the extent being below the original level of drug prescription, is that serotonin stores are depleted and consumed at some point of time during the treatment.</w:t>
      </w:r>
    </w:p>
    <w:p w:rsidR="000A3F37" w:rsidRPr="00BF6A60" w:rsidRDefault="000A3F37" w:rsidP="000A3F37">
      <w:pPr>
        <w:bidi w:val="0"/>
        <w:spacing w:before="240" w:line="420" w:lineRule="atLeast"/>
        <w:ind w:firstLine="284"/>
        <w:jc w:val="both"/>
        <w:rPr>
          <w:color w:val="000000"/>
          <w:sz w:val="28"/>
          <w:szCs w:val="28"/>
        </w:rPr>
      </w:pPr>
      <w:r w:rsidRPr="00BF6A60">
        <w:rPr>
          <w:color w:val="000000"/>
          <w:sz w:val="28"/>
          <w:szCs w:val="28"/>
        </w:rPr>
        <w:t xml:space="preserve">While those who received levetiracetam </w:t>
      </w:r>
      <w:r w:rsidRPr="00BF6A60">
        <w:rPr>
          <w:sz w:val="28"/>
          <w:szCs w:val="28"/>
        </w:rPr>
        <w:t xml:space="preserve">had a serotonin level at o month of 69ng/ml, with an increase up to 70ng/ml in the 3 month follow up and later on the 5th month it </w:t>
      </w:r>
      <w:r w:rsidRPr="00BF6A60">
        <w:rPr>
          <w:color w:val="000000"/>
          <w:sz w:val="28"/>
          <w:szCs w:val="28"/>
        </w:rPr>
        <w:t>elevated again to 87ng/ml, this continuous increase in the level of serotonin can be justified by the mechanism of action of levetiracetam which is a serotoninergic one.</w:t>
      </w:r>
    </w:p>
    <w:p w:rsidR="000A3F37" w:rsidRPr="00BF6A60" w:rsidRDefault="000A3F37" w:rsidP="000A3F37">
      <w:pPr>
        <w:bidi w:val="0"/>
        <w:spacing w:before="240" w:line="420" w:lineRule="atLeast"/>
        <w:ind w:firstLine="284"/>
        <w:jc w:val="both"/>
        <w:rPr>
          <w:color w:val="FF0000"/>
          <w:sz w:val="28"/>
          <w:szCs w:val="28"/>
        </w:rPr>
      </w:pPr>
      <w:r w:rsidRPr="00BF6A60">
        <w:rPr>
          <w:sz w:val="28"/>
          <w:szCs w:val="28"/>
        </w:rPr>
        <w:t xml:space="preserve">The results of </w:t>
      </w:r>
      <w:r>
        <w:rPr>
          <w:sz w:val="28"/>
          <w:szCs w:val="28"/>
        </w:rPr>
        <w:t>the</w:t>
      </w:r>
      <w:r w:rsidRPr="00BF6A60">
        <w:rPr>
          <w:sz w:val="28"/>
          <w:szCs w:val="28"/>
        </w:rPr>
        <w:t xml:space="preserve"> current study showed that at recruitment the mean serum levels of Serotonin were lower (47.14+35.10 ng/ml) than that of the control group (52.5+23.9ng/ml). Yet, this finding is not statistically significant. This finding suggests that serotonin levels may be falling during the process of epileptogenesis, confirming that serotonin plays a role in pathophysiology of epilepsy.</w:t>
      </w:r>
      <w:r w:rsidRPr="00BF6A60">
        <w:rPr>
          <w:color w:val="000000"/>
          <w:sz w:val="28"/>
          <w:szCs w:val="28"/>
        </w:rPr>
        <w:t xml:space="preserve"> These findings were supported by the earlier finding of </w:t>
      </w:r>
      <w:proofErr w:type="spellStart"/>
      <w:r w:rsidRPr="00BF6A60">
        <w:rPr>
          <w:b/>
          <w:bCs/>
          <w:sz w:val="28"/>
          <w:szCs w:val="28"/>
        </w:rPr>
        <w:t>Pranzatelli</w:t>
      </w:r>
      <w:proofErr w:type="spellEnd"/>
      <w:r w:rsidRPr="00BF6A60">
        <w:rPr>
          <w:b/>
          <w:bCs/>
          <w:sz w:val="28"/>
          <w:szCs w:val="28"/>
        </w:rPr>
        <w:t xml:space="preserve"> et al. (1995)</w:t>
      </w:r>
      <w:r w:rsidRPr="00BF6A60">
        <w:rPr>
          <w:sz w:val="28"/>
          <w:szCs w:val="28"/>
        </w:rPr>
        <w:t xml:space="preserve"> who </w:t>
      </w:r>
      <w:r w:rsidRPr="00BF6A60">
        <w:rPr>
          <w:color w:val="000000"/>
          <w:sz w:val="28"/>
          <w:szCs w:val="28"/>
        </w:rPr>
        <w:t>reported</w:t>
      </w:r>
      <w:r w:rsidRPr="00BF6A60">
        <w:rPr>
          <w:color w:val="FF0000"/>
          <w:sz w:val="28"/>
          <w:szCs w:val="28"/>
        </w:rPr>
        <w:t xml:space="preserve"> </w:t>
      </w:r>
      <w:r w:rsidRPr="00BF6A60">
        <w:rPr>
          <w:color w:val="000000"/>
          <w:sz w:val="28"/>
          <w:szCs w:val="28"/>
        </w:rPr>
        <w:t>low</w:t>
      </w:r>
      <w:r w:rsidRPr="00BF6A60">
        <w:rPr>
          <w:sz w:val="28"/>
          <w:szCs w:val="28"/>
        </w:rPr>
        <w:t xml:space="preserve"> concentrations of the serotonin metabolite, 5-hydroxyindoleactic acid in CSF of patients with progressive myoclonus epilepsy, suggesting a hypofunctional serotonergic neurotransmission.</w:t>
      </w:r>
    </w:p>
    <w:p w:rsidR="000A3F37" w:rsidRPr="00BF6A60" w:rsidRDefault="000A3F37" w:rsidP="000A3F37">
      <w:pPr>
        <w:bidi w:val="0"/>
        <w:spacing w:before="240" w:line="420" w:lineRule="atLeast"/>
        <w:ind w:firstLine="284"/>
        <w:jc w:val="both"/>
        <w:rPr>
          <w:sz w:val="28"/>
          <w:szCs w:val="28"/>
        </w:rPr>
      </w:pPr>
      <w:r>
        <w:rPr>
          <w:sz w:val="28"/>
          <w:szCs w:val="28"/>
        </w:rPr>
        <w:t>C</w:t>
      </w:r>
      <w:r w:rsidRPr="00BF6A60">
        <w:rPr>
          <w:sz w:val="28"/>
          <w:szCs w:val="28"/>
        </w:rPr>
        <w:t xml:space="preserve">orrelation matrix in this study </w:t>
      </w:r>
      <w:r>
        <w:rPr>
          <w:sz w:val="28"/>
          <w:szCs w:val="28"/>
        </w:rPr>
        <w:t>showed</w:t>
      </w:r>
      <w:r w:rsidRPr="00BF6A60">
        <w:rPr>
          <w:sz w:val="28"/>
          <w:szCs w:val="28"/>
        </w:rPr>
        <w:t xml:space="preserve"> no significant correlations among serum serotonin levels and any of the other studied parameters including Chalfont severity scale, dose of AED and disease duration.</w:t>
      </w:r>
      <w:r>
        <w:rPr>
          <w:sz w:val="28"/>
          <w:szCs w:val="28"/>
        </w:rPr>
        <w:t xml:space="preserve"> Also, </w:t>
      </w:r>
      <w:r w:rsidRPr="00BF6A60">
        <w:rPr>
          <w:sz w:val="28"/>
          <w:szCs w:val="28"/>
        </w:rPr>
        <w:t xml:space="preserve">the median values of serotonin in </w:t>
      </w:r>
      <w:r w:rsidRPr="00BF6A60">
        <w:rPr>
          <w:sz w:val="28"/>
          <w:szCs w:val="28"/>
        </w:rPr>
        <w:lastRenderedPageBreak/>
        <w:t xml:space="preserve">different types of seizures, </w:t>
      </w:r>
      <w:r>
        <w:rPr>
          <w:sz w:val="28"/>
          <w:szCs w:val="28"/>
        </w:rPr>
        <w:t xml:space="preserve">showed </w:t>
      </w:r>
      <w:proofErr w:type="spellStart"/>
      <w:r>
        <w:rPr>
          <w:sz w:val="28"/>
          <w:szCs w:val="28"/>
        </w:rPr>
        <w:t>non</w:t>
      </w:r>
      <w:proofErr w:type="spellEnd"/>
      <w:r w:rsidRPr="00BF6A60">
        <w:rPr>
          <w:sz w:val="28"/>
          <w:szCs w:val="28"/>
        </w:rPr>
        <w:t xml:space="preserve"> significant difference (</w:t>
      </w:r>
      <w:r>
        <w:rPr>
          <w:sz w:val="28"/>
          <w:szCs w:val="28"/>
        </w:rPr>
        <w:t xml:space="preserve">P </w:t>
      </w:r>
      <w:r w:rsidRPr="00BF6A60">
        <w:rPr>
          <w:sz w:val="28"/>
          <w:szCs w:val="28"/>
        </w:rPr>
        <w:t>&gt;0.05) at 3 and5 months after the start</w:t>
      </w:r>
      <w:r>
        <w:rPr>
          <w:sz w:val="28"/>
          <w:szCs w:val="28"/>
        </w:rPr>
        <w:t>ing</w:t>
      </w:r>
      <w:r w:rsidRPr="00BF6A60">
        <w:rPr>
          <w:sz w:val="28"/>
          <w:szCs w:val="28"/>
        </w:rPr>
        <w:t xml:space="preserve"> AED therapy in Idiopathic Epileptics.</w:t>
      </w:r>
    </w:p>
    <w:p w:rsidR="000A3F37" w:rsidRPr="00E123B5" w:rsidRDefault="000A3F37" w:rsidP="000A3F37">
      <w:pPr>
        <w:bidi w:val="0"/>
        <w:spacing w:before="240" w:after="480" w:line="420" w:lineRule="atLeast"/>
        <w:rPr>
          <w:rFonts w:eastAsia="Calibri"/>
          <w:sz w:val="22"/>
          <w:szCs w:val="22"/>
        </w:rPr>
      </w:pPr>
      <w:r w:rsidRPr="00E123B5">
        <w:rPr>
          <w:b/>
          <w:bCs/>
          <w:sz w:val="32"/>
          <w:szCs w:val="32"/>
        </w:rPr>
        <w:t>Conclusion and Recommendations:</w:t>
      </w:r>
    </w:p>
    <w:p w:rsidR="000A3F37" w:rsidRPr="00BF6A60" w:rsidRDefault="000A3F37" w:rsidP="00FB6F58">
      <w:pPr>
        <w:bidi w:val="0"/>
        <w:spacing w:before="240" w:after="480" w:line="420" w:lineRule="atLeast"/>
        <w:jc w:val="lowKashida"/>
        <w:rPr>
          <w:sz w:val="28"/>
          <w:szCs w:val="28"/>
        </w:rPr>
      </w:pPr>
      <w:r>
        <w:rPr>
          <w:rFonts w:eastAsia="Calibri"/>
          <w:sz w:val="28"/>
          <w:szCs w:val="28"/>
        </w:rPr>
        <w:t xml:space="preserve">   It could be</w:t>
      </w:r>
      <w:r w:rsidRPr="00BF6A60">
        <w:rPr>
          <w:rFonts w:eastAsia="Calibri"/>
          <w:sz w:val="28"/>
          <w:szCs w:val="28"/>
        </w:rPr>
        <w:t xml:space="preserve"> conclude</w:t>
      </w:r>
      <w:r>
        <w:rPr>
          <w:rFonts w:eastAsia="Calibri"/>
          <w:sz w:val="28"/>
          <w:szCs w:val="28"/>
        </w:rPr>
        <w:t>d</w:t>
      </w:r>
      <w:r w:rsidRPr="00BF6A60">
        <w:rPr>
          <w:rFonts w:eastAsia="Calibri"/>
          <w:sz w:val="28"/>
          <w:szCs w:val="28"/>
        </w:rPr>
        <w:t xml:space="preserve"> that serotonin levels among epileptic patients are controversial and it might be multifactorial affected by the antiepileptic drug used and duration of therapy. Therefore, </w:t>
      </w:r>
      <w:r w:rsidR="00FB6F58">
        <w:rPr>
          <w:rFonts w:eastAsia="Calibri"/>
          <w:sz w:val="28"/>
          <w:szCs w:val="28"/>
        </w:rPr>
        <w:t>authors</w:t>
      </w:r>
      <w:r w:rsidRPr="00BF6A60">
        <w:rPr>
          <w:rFonts w:eastAsia="Calibri"/>
          <w:sz w:val="28"/>
          <w:szCs w:val="28"/>
        </w:rPr>
        <w:t xml:space="preserve"> recommend a further study on the serum serotonin level among intractable epilepsy patients as well as epileptics receiving antiepileptic drugs, as a monotherapy as well as polytherapy for a longer duration of follow up. </w:t>
      </w:r>
      <w:r w:rsidRPr="00BF6A60">
        <w:rPr>
          <w:sz w:val="28"/>
          <w:szCs w:val="28"/>
        </w:rPr>
        <w:t>Further pharmacological evaluation of selective activation or inactivation of the 5-HT2C receptor subtype with selective agonist/positive modulators and antagonists will provide important information about the therapeutic contribution of this receptor to the epileptic circuitry in the brain. Future development of serotonergic antiepileptic drugs will be a significant addition to the therapeutic armamentarium against epilepsy.</w:t>
      </w:r>
    </w:p>
    <w:p w:rsidR="000A3F37" w:rsidRPr="00E123B5" w:rsidRDefault="000A3F37" w:rsidP="00A06E81">
      <w:pPr>
        <w:bidi w:val="0"/>
        <w:spacing w:after="480" w:line="420" w:lineRule="atLeast"/>
        <w:rPr>
          <w:b/>
          <w:bCs/>
          <w:sz w:val="32"/>
          <w:szCs w:val="32"/>
        </w:rPr>
      </w:pPr>
      <w:r w:rsidRPr="00E123B5">
        <w:rPr>
          <w:b/>
          <w:bCs/>
          <w:sz w:val="32"/>
          <w:szCs w:val="32"/>
        </w:rPr>
        <w:t>References:</w:t>
      </w:r>
    </w:p>
    <w:p w:rsidR="000A3F37" w:rsidRPr="00E123B5" w:rsidRDefault="000A3F37" w:rsidP="000A3F37">
      <w:pPr>
        <w:pStyle w:val="ListParagraph"/>
        <w:tabs>
          <w:tab w:val="left" w:pos="567"/>
        </w:tabs>
        <w:autoSpaceDE w:val="0"/>
        <w:autoSpaceDN w:val="0"/>
        <w:adjustRightInd w:val="0"/>
        <w:spacing w:before="240" w:after="0" w:line="240" w:lineRule="auto"/>
        <w:ind w:left="567" w:hanging="567"/>
        <w:contextualSpacing/>
        <w:jc w:val="both"/>
        <w:rPr>
          <w:rFonts w:ascii="Times New Roman" w:hAnsi="Times New Roman" w:cs="Times New Roman"/>
          <w:color w:val="000000"/>
          <w:sz w:val="24"/>
          <w:szCs w:val="24"/>
        </w:rPr>
      </w:pPr>
      <w:proofErr w:type="spellStart"/>
      <w:r w:rsidRPr="00E123B5">
        <w:rPr>
          <w:rFonts w:ascii="Times New Roman" w:hAnsi="Times New Roman" w:cs="Times New Roman"/>
          <w:b/>
          <w:bCs/>
          <w:color w:val="000000"/>
          <w:sz w:val="24"/>
          <w:szCs w:val="24"/>
        </w:rPr>
        <w:t>Azmitia</w:t>
      </w:r>
      <w:proofErr w:type="spellEnd"/>
      <w:r w:rsidRPr="00E123B5">
        <w:rPr>
          <w:rFonts w:ascii="Times New Roman" w:hAnsi="Times New Roman" w:cs="Times New Roman"/>
          <w:b/>
          <w:bCs/>
          <w:color w:val="000000"/>
          <w:sz w:val="24"/>
          <w:szCs w:val="24"/>
        </w:rPr>
        <w:t xml:space="preserve"> E. C. and Whitaker-</w:t>
      </w:r>
      <w:proofErr w:type="spellStart"/>
      <w:r w:rsidRPr="00E123B5">
        <w:rPr>
          <w:rFonts w:ascii="Times New Roman" w:hAnsi="Times New Roman" w:cs="Times New Roman"/>
          <w:b/>
          <w:bCs/>
          <w:color w:val="000000"/>
          <w:sz w:val="24"/>
          <w:szCs w:val="24"/>
        </w:rPr>
        <w:t>Azmitia</w:t>
      </w:r>
      <w:proofErr w:type="spellEnd"/>
      <w:r w:rsidRPr="00E123B5">
        <w:rPr>
          <w:rFonts w:ascii="Times New Roman" w:hAnsi="Times New Roman" w:cs="Times New Roman"/>
          <w:b/>
          <w:bCs/>
          <w:color w:val="000000"/>
          <w:sz w:val="24"/>
          <w:szCs w:val="24"/>
        </w:rPr>
        <w:t xml:space="preserve"> E. C. (1999): </w:t>
      </w:r>
      <w:r w:rsidRPr="00E123B5">
        <w:rPr>
          <w:rFonts w:ascii="Times New Roman" w:hAnsi="Times New Roman" w:cs="Times New Roman"/>
          <w:color w:val="000000"/>
          <w:sz w:val="24"/>
          <w:szCs w:val="24"/>
        </w:rPr>
        <w:t xml:space="preserve">Development and adult plasticity of serotoninergic neurons and their target, in Serotonergic Neurons and 5-HT Receptors in the CNS; p1–39. </w:t>
      </w:r>
      <w:proofErr w:type="gramStart"/>
      <w:r w:rsidRPr="00E123B5">
        <w:rPr>
          <w:rFonts w:ascii="Times New Roman" w:hAnsi="Times New Roman" w:cs="Times New Roman"/>
          <w:color w:val="000000"/>
          <w:sz w:val="24"/>
          <w:szCs w:val="24"/>
        </w:rPr>
        <w:t>Springer, New York.</w:t>
      </w:r>
      <w:proofErr w:type="gramEnd"/>
    </w:p>
    <w:p w:rsidR="00A06E81" w:rsidRDefault="00A06E81" w:rsidP="000A3F37">
      <w:pPr>
        <w:pStyle w:val="ListParagraph"/>
        <w:tabs>
          <w:tab w:val="left" w:pos="567"/>
        </w:tabs>
        <w:spacing w:before="240" w:after="0" w:line="240" w:lineRule="auto"/>
        <w:ind w:left="567" w:hanging="567"/>
        <w:contextualSpacing/>
        <w:jc w:val="both"/>
        <w:rPr>
          <w:rFonts w:ascii="Times New Roman" w:hAnsi="Times New Roman" w:cs="Times New Roman"/>
          <w:b/>
          <w:bCs/>
          <w:sz w:val="24"/>
          <w:szCs w:val="24"/>
        </w:rPr>
      </w:pPr>
    </w:p>
    <w:p w:rsidR="000A3F37" w:rsidRPr="00E123B5" w:rsidRDefault="000A3F37" w:rsidP="000A3F37">
      <w:pPr>
        <w:pStyle w:val="ListParagraph"/>
        <w:tabs>
          <w:tab w:val="left" w:pos="567"/>
        </w:tabs>
        <w:spacing w:before="240" w:after="0" w:line="240" w:lineRule="auto"/>
        <w:ind w:left="567" w:hanging="567"/>
        <w:contextualSpacing/>
        <w:jc w:val="both"/>
        <w:rPr>
          <w:rFonts w:ascii="Times New Roman" w:hAnsi="Times New Roman" w:cs="Times New Roman"/>
          <w:sz w:val="24"/>
          <w:szCs w:val="24"/>
        </w:rPr>
      </w:pPr>
      <w:proofErr w:type="spellStart"/>
      <w:r w:rsidRPr="00E123B5">
        <w:rPr>
          <w:rFonts w:ascii="Times New Roman" w:hAnsi="Times New Roman" w:cs="Times New Roman"/>
          <w:b/>
          <w:bCs/>
          <w:sz w:val="24"/>
          <w:szCs w:val="24"/>
        </w:rPr>
        <w:t>Bagdy</w:t>
      </w:r>
      <w:proofErr w:type="spellEnd"/>
      <w:r w:rsidRPr="00E123B5">
        <w:rPr>
          <w:rFonts w:ascii="Times New Roman" w:hAnsi="Times New Roman" w:cs="Times New Roman"/>
          <w:b/>
          <w:bCs/>
          <w:sz w:val="24"/>
          <w:szCs w:val="24"/>
        </w:rPr>
        <w:t xml:space="preserve"> G, </w:t>
      </w:r>
      <w:proofErr w:type="spellStart"/>
      <w:r w:rsidRPr="00E123B5">
        <w:rPr>
          <w:rFonts w:ascii="Times New Roman" w:hAnsi="Times New Roman" w:cs="Times New Roman"/>
          <w:b/>
          <w:bCs/>
          <w:sz w:val="24"/>
          <w:szCs w:val="24"/>
        </w:rPr>
        <w:t>Kecskemeti</w:t>
      </w:r>
      <w:proofErr w:type="spellEnd"/>
      <w:r w:rsidRPr="00E123B5">
        <w:rPr>
          <w:rFonts w:ascii="Times New Roman" w:hAnsi="Times New Roman" w:cs="Times New Roman"/>
          <w:b/>
          <w:bCs/>
          <w:sz w:val="24"/>
          <w:szCs w:val="24"/>
        </w:rPr>
        <w:t xml:space="preserve"> V, </w:t>
      </w:r>
      <w:proofErr w:type="spellStart"/>
      <w:r w:rsidRPr="00E123B5">
        <w:rPr>
          <w:rFonts w:ascii="Times New Roman" w:hAnsi="Times New Roman" w:cs="Times New Roman"/>
          <w:b/>
          <w:bCs/>
          <w:sz w:val="24"/>
          <w:szCs w:val="24"/>
        </w:rPr>
        <w:t>Riba</w:t>
      </w:r>
      <w:proofErr w:type="spellEnd"/>
      <w:r w:rsidRPr="00E123B5">
        <w:rPr>
          <w:rFonts w:ascii="Times New Roman" w:hAnsi="Times New Roman" w:cs="Times New Roman"/>
          <w:b/>
          <w:bCs/>
          <w:sz w:val="24"/>
          <w:szCs w:val="24"/>
        </w:rPr>
        <w:t xml:space="preserve"> P, </w:t>
      </w:r>
      <w:proofErr w:type="spellStart"/>
      <w:r w:rsidRPr="00E123B5">
        <w:rPr>
          <w:rFonts w:ascii="Times New Roman" w:hAnsi="Times New Roman" w:cs="Times New Roman"/>
          <w:b/>
          <w:bCs/>
          <w:sz w:val="24"/>
          <w:szCs w:val="24"/>
        </w:rPr>
        <w:t>Jakus</w:t>
      </w:r>
      <w:proofErr w:type="spellEnd"/>
      <w:r w:rsidRPr="00E123B5">
        <w:rPr>
          <w:rFonts w:ascii="Times New Roman" w:hAnsi="Times New Roman" w:cs="Times New Roman"/>
          <w:b/>
          <w:bCs/>
          <w:sz w:val="24"/>
          <w:szCs w:val="24"/>
        </w:rPr>
        <w:t xml:space="preserve"> R. (2007): </w:t>
      </w:r>
      <w:r w:rsidRPr="00E123B5">
        <w:rPr>
          <w:rFonts w:ascii="Times New Roman" w:hAnsi="Times New Roman" w:cs="Times New Roman"/>
          <w:sz w:val="24"/>
          <w:szCs w:val="24"/>
        </w:rPr>
        <w:t xml:space="preserve">Serotonin and epilepsy. J </w:t>
      </w:r>
      <w:proofErr w:type="spellStart"/>
      <w:r w:rsidRPr="00E123B5">
        <w:rPr>
          <w:rFonts w:ascii="Times New Roman" w:hAnsi="Times New Roman" w:cs="Times New Roman"/>
          <w:sz w:val="24"/>
          <w:szCs w:val="24"/>
        </w:rPr>
        <w:t>Neurochem</w:t>
      </w:r>
      <w:proofErr w:type="spellEnd"/>
      <w:r w:rsidRPr="00E123B5">
        <w:rPr>
          <w:rFonts w:ascii="Times New Roman" w:hAnsi="Times New Roman" w:cs="Times New Roman"/>
          <w:sz w:val="24"/>
          <w:szCs w:val="24"/>
        </w:rPr>
        <w:t xml:space="preserve">; 100:857–73. </w:t>
      </w:r>
    </w:p>
    <w:p w:rsidR="000A3F37" w:rsidRPr="00E123B5" w:rsidRDefault="000A3F37" w:rsidP="000A3F37">
      <w:pPr>
        <w:tabs>
          <w:tab w:val="left" w:pos="567"/>
        </w:tabs>
        <w:bidi w:val="0"/>
        <w:spacing w:before="240"/>
        <w:ind w:left="567" w:hanging="567"/>
        <w:jc w:val="both"/>
      </w:pPr>
      <w:proofErr w:type="spellStart"/>
      <w:r w:rsidRPr="00E123B5">
        <w:rPr>
          <w:b/>
          <w:bCs/>
        </w:rPr>
        <w:t>Benbadis</w:t>
      </w:r>
      <w:proofErr w:type="spellEnd"/>
      <w:r w:rsidRPr="00E123B5">
        <w:rPr>
          <w:b/>
          <w:bCs/>
        </w:rPr>
        <w:t xml:space="preserve"> SR, </w:t>
      </w:r>
      <w:proofErr w:type="spellStart"/>
      <w:r w:rsidRPr="00E123B5">
        <w:rPr>
          <w:b/>
          <w:bCs/>
        </w:rPr>
        <w:t>Berkovic</w:t>
      </w:r>
      <w:proofErr w:type="spellEnd"/>
      <w:r w:rsidRPr="00E123B5">
        <w:rPr>
          <w:b/>
          <w:bCs/>
        </w:rPr>
        <w:t xml:space="preserve"> SF. (2006):</w:t>
      </w:r>
      <w:r w:rsidRPr="00E123B5">
        <w:t xml:space="preserve"> Absence Seizures. In: Wyllie E, Gupta A and </w:t>
      </w:r>
      <w:proofErr w:type="spellStart"/>
      <w:r w:rsidRPr="00E123B5">
        <w:t>Lachhwani</w:t>
      </w:r>
      <w:proofErr w:type="spellEnd"/>
      <w:r w:rsidRPr="00E123B5">
        <w:t xml:space="preserve"> DK. The Treatment of Epilepsy: principles and</w:t>
      </w:r>
      <w:r w:rsidRPr="00E123B5">
        <w:rPr>
          <w:i/>
          <w:iCs/>
        </w:rPr>
        <w:t xml:space="preserve"> </w:t>
      </w:r>
      <w:r w:rsidRPr="00E123B5">
        <w:t>Practice. </w:t>
      </w:r>
      <w:proofErr w:type="gramStart"/>
      <w:r w:rsidRPr="00E123B5">
        <w:t>4</w:t>
      </w:r>
      <w:r w:rsidRPr="00E123B5">
        <w:rPr>
          <w:vertAlign w:val="superscript"/>
        </w:rPr>
        <w:t>th</w:t>
      </w:r>
      <w:r w:rsidRPr="00E123B5">
        <w:t xml:space="preserve"> </w:t>
      </w:r>
      <w:proofErr w:type="spellStart"/>
      <w:r w:rsidRPr="00E123B5">
        <w:t>Edn</w:t>
      </w:r>
      <w:proofErr w:type="spellEnd"/>
      <w:r w:rsidRPr="00E123B5">
        <w:t>.</w:t>
      </w:r>
      <w:proofErr w:type="gramEnd"/>
      <w:r w:rsidRPr="00E123B5">
        <w:t> Philadelphia. Lippincott. Williams and Wilkins; 305-315.</w:t>
      </w:r>
    </w:p>
    <w:p w:rsidR="000A3F37" w:rsidRPr="00E123B5" w:rsidRDefault="000A3F37" w:rsidP="000A3F37">
      <w:pPr>
        <w:tabs>
          <w:tab w:val="left" w:pos="567"/>
        </w:tabs>
        <w:bidi w:val="0"/>
        <w:spacing w:before="240"/>
        <w:ind w:left="567" w:hanging="567"/>
        <w:jc w:val="both"/>
      </w:pPr>
      <w:r w:rsidRPr="00E123B5">
        <w:rPr>
          <w:b/>
          <w:bCs/>
        </w:rPr>
        <w:t xml:space="preserve">Berg A, </w:t>
      </w:r>
      <w:proofErr w:type="spellStart"/>
      <w:r w:rsidRPr="00E123B5">
        <w:rPr>
          <w:b/>
          <w:bCs/>
        </w:rPr>
        <w:t>Shinnar</w:t>
      </w:r>
      <w:proofErr w:type="spellEnd"/>
      <w:r w:rsidRPr="00E123B5">
        <w:rPr>
          <w:b/>
          <w:bCs/>
        </w:rPr>
        <w:t xml:space="preserve"> S, Levy S, </w:t>
      </w:r>
      <w:proofErr w:type="spellStart"/>
      <w:r w:rsidRPr="00E123B5">
        <w:rPr>
          <w:b/>
          <w:bCs/>
        </w:rPr>
        <w:t>Testa</w:t>
      </w:r>
      <w:proofErr w:type="spellEnd"/>
      <w:r w:rsidRPr="00E123B5">
        <w:rPr>
          <w:b/>
          <w:bCs/>
        </w:rPr>
        <w:t xml:space="preserve"> F, Smith-</w:t>
      </w:r>
      <w:proofErr w:type="spellStart"/>
      <w:r w:rsidRPr="00E123B5">
        <w:rPr>
          <w:b/>
          <w:bCs/>
        </w:rPr>
        <w:t>Rapaport</w:t>
      </w:r>
      <w:proofErr w:type="spellEnd"/>
      <w:r w:rsidRPr="00E123B5">
        <w:rPr>
          <w:b/>
          <w:bCs/>
        </w:rPr>
        <w:t xml:space="preserve"> S, and Beckerman B. (2001):</w:t>
      </w:r>
      <w:r w:rsidRPr="00E123B5">
        <w:t xml:space="preserve"> Early development of intractable epilepsy in children. </w:t>
      </w:r>
      <w:proofErr w:type="gramStart"/>
      <w:r w:rsidRPr="00E123B5">
        <w:t>A prospective study.</w:t>
      </w:r>
      <w:proofErr w:type="gramEnd"/>
      <w:r w:rsidRPr="00E123B5">
        <w:t xml:space="preserve"> Neurology; 56:144-52.</w:t>
      </w:r>
    </w:p>
    <w:p w:rsidR="000A3F37" w:rsidRPr="00E123B5" w:rsidRDefault="000A3F37" w:rsidP="000A3F37">
      <w:pPr>
        <w:tabs>
          <w:tab w:val="left" w:pos="567"/>
        </w:tabs>
        <w:bidi w:val="0"/>
        <w:spacing w:before="240"/>
        <w:ind w:left="567" w:hanging="567"/>
        <w:jc w:val="both"/>
        <w:rPr>
          <w:color w:val="000000"/>
        </w:rPr>
      </w:pPr>
      <w:r w:rsidRPr="00E123B5">
        <w:rPr>
          <w:b/>
          <w:bCs/>
          <w:color w:val="000000"/>
        </w:rPr>
        <w:t>Berger M, Gray JA, Roth BL (2009):</w:t>
      </w:r>
      <w:r w:rsidRPr="00E123B5">
        <w:rPr>
          <w:color w:val="000000"/>
        </w:rPr>
        <w:t xml:space="preserve"> "The expanded biology of serotonin". </w:t>
      </w:r>
      <w:proofErr w:type="spellStart"/>
      <w:proofErr w:type="gramStart"/>
      <w:r w:rsidRPr="00E123B5">
        <w:rPr>
          <w:color w:val="000000"/>
        </w:rPr>
        <w:t>Annu</w:t>
      </w:r>
      <w:proofErr w:type="spellEnd"/>
      <w:r w:rsidRPr="00E123B5">
        <w:rPr>
          <w:color w:val="000000"/>
        </w:rPr>
        <w:t>.</w:t>
      </w:r>
      <w:proofErr w:type="gramEnd"/>
      <w:r w:rsidRPr="00E123B5">
        <w:rPr>
          <w:color w:val="000000"/>
        </w:rPr>
        <w:t xml:space="preserve"> Rev. Med. 60: 355–66. </w:t>
      </w:r>
    </w:p>
    <w:p w:rsidR="000A3F37" w:rsidRPr="00E123B5" w:rsidRDefault="000A3F37" w:rsidP="000A3F37">
      <w:pPr>
        <w:tabs>
          <w:tab w:val="left" w:pos="567"/>
        </w:tabs>
        <w:bidi w:val="0"/>
        <w:spacing w:before="240"/>
        <w:ind w:left="567" w:hanging="567"/>
        <w:jc w:val="both"/>
      </w:pPr>
      <w:proofErr w:type="spellStart"/>
      <w:r w:rsidRPr="00E123B5">
        <w:rPr>
          <w:b/>
          <w:bCs/>
        </w:rPr>
        <w:t>Camfield</w:t>
      </w:r>
      <w:proofErr w:type="spellEnd"/>
      <w:r w:rsidRPr="00E123B5">
        <w:rPr>
          <w:b/>
          <w:bCs/>
        </w:rPr>
        <w:t xml:space="preserve"> C, </w:t>
      </w:r>
      <w:proofErr w:type="spellStart"/>
      <w:r w:rsidRPr="00E123B5">
        <w:rPr>
          <w:b/>
          <w:bCs/>
        </w:rPr>
        <w:t>Camfield</w:t>
      </w:r>
      <w:proofErr w:type="spellEnd"/>
      <w:r w:rsidRPr="00E123B5">
        <w:rPr>
          <w:b/>
          <w:bCs/>
        </w:rPr>
        <w:t xml:space="preserve"> P, and Gordon K. (1996):</w:t>
      </w:r>
      <w:r w:rsidRPr="00E123B5">
        <w:t xml:space="preserve"> Incidence of epilepsy in childhood and adolescence: A population-based study in Nova Scotia from 1977-1985. Epilepsia; 37:19.</w:t>
      </w:r>
    </w:p>
    <w:p w:rsidR="000A3F37" w:rsidRPr="00E123B5" w:rsidRDefault="000A3F37" w:rsidP="000A3F37">
      <w:pPr>
        <w:pStyle w:val="ListParagraph"/>
        <w:shd w:val="clear" w:color="auto" w:fill="FFFFFF"/>
        <w:tabs>
          <w:tab w:val="left" w:pos="567"/>
        </w:tabs>
        <w:spacing w:before="240" w:after="0" w:line="240" w:lineRule="auto"/>
        <w:ind w:left="567" w:hanging="567"/>
        <w:contextualSpacing/>
        <w:jc w:val="both"/>
        <w:rPr>
          <w:rFonts w:ascii="Times New Roman" w:hAnsi="Times New Roman" w:cs="Times New Roman"/>
          <w:color w:val="000000"/>
          <w:sz w:val="24"/>
          <w:szCs w:val="24"/>
        </w:rPr>
      </w:pPr>
      <w:hyperlink r:id="rId9" w:history="1">
        <w:proofErr w:type="spellStart"/>
        <w:proofErr w:type="gramStart"/>
        <w:r w:rsidRPr="00E123B5">
          <w:rPr>
            <w:rFonts w:ascii="Times New Roman" w:hAnsi="Times New Roman" w:cs="Times New Roman"/>
            <w:b/>
            <w:bCs/>
            <w:color w:val="000000"/>
            <w:sz w:val="24"/>
            <w:szCs w:val="24"/>
          </w:rPr>
          <w:t>Chiodi</w:t>
        </w:r>
        <w:proofErr w:type="spellEnd"/>
        <w:r w:rsidRPr="00E123B5">
          <w:rPr>
            <w:rFonts w:ascii="Times New Roman" w:hAnsi="Times New Roman" w:cs="Times New Roman"/>
            <w:b/>
            <w:bCs/>
            <w:color w:val="000000"/>
            <w:sz w:val="24"/>
            <w:szCs w:val="24"/>
          </w:rPr>
          <w:t xml:space="preserve"> F</w:t>
        </w:r>
      </w:hyperlink>
      <w:r w:rsidRPr="00E123B5">
        <w:rPr>
          <w:rFonts w:ascii="Times New Roman" w:hAnsi="Times New Roman" w:cs="Times New Roman"/>
          <w:b/>
          <w:bCs/>
          <w:color w:val="000000"/>
          <w:sz w:val="24"/>
          <w:szCs w:val="24"/>
        </w:rPr>
        <w:t xml:space="preserve">, </w:t>
      </w:r>
      <w:hyperlink r:id="rId10" w:history="1">
        <w:r w:rsidRPr="00E123B5">
          <w:rPr>
            <w:rFonts w:ascii="Times New Roman" w:hAnsi="Times New Roman" w:cs="Times New Roman"/>
            <w:b/>
            <w:bCs/>
            <w:color w:val="000000"/>
            <w:sz w:val="24"/>
            <w:szCs w:val="24"/>
          </w:rPr>
          <w:t>Paris L</w:t>
        </w:r>
      </w:hyperlink>
      <w:r w:rsidRPr="00E123B5">
        <w:rPr>
          <w:rFonts w:ascii="Times New Roman" w:hAnsi="Times New Roman" w:cs="Times New Roman"/>
          <w:b/>
          <w:bCs/>
          <w:color w:val="000000"/>
          <w:sz w:val="24"/>
          <w:szCs w:val="24"/>
        </w:rPr>
        <w:t xml:space="preserve">, </w:t>
      </w:r>
      <w:hyperlink r:id="rId11" w:history="1">
        <w:proofErr w:type="spellStart"/>
        <w:r w:rsidRPr="00E123B5">
          <w:rPr>
            <w:rFonts w:ascii="Times New Roman" w:hAnsi="Times New Roman" w:cs="Times New Roman"/>
            <w:b/>
            <w:bCs/>
            <w:color w:val="000000"/>
            <w:sz w:val="24"/>
            <w:szCs w:val="24"/>
          </w:rPr>
          <w:t>Casacchia</w:t>
        </w:r>
        <w:proofErr w:type="spellEnd"/>
        <w:r w:rsidRPr="00E123B5">
          <w:rPr>
            <w:rFonts w:ascii="Times New Roman" w:hAnsi="Times New Roman" w:cs="Times New Roman"/>
            <w:b/>
            <w:bCs/>
            <w:color w:val="000000"/>
            <w:sz w:val="24"/>
            <w:szCs w:val="24"/>
          </w:rPr>
          <w:t xml:space="preserve"> M</w:t>
        </w:r>
      </w:hyperlink>
      <w:r w:rsidRPr="00E123B5">
        <w:rPr>
          <w:b/>
          <w:bCs/>
          <w:sz w:val="20"/>
          <w:szCs w:val="20"/>
        </w:rPr>
        <w:t xml:space="preserve"> (</w:t>
      </w:r>
      <w:r w:rsidRPr="00E123B5">
        <w:rPr>
          <w:rFonts w:ascii="Times New Roman" w:hAnsi="Times New Roman" w:cs="Times New Roman"/>
          <w:b/>
          <w:bCs/>
          <w:color w:val="000000"/>
          <w:sz w:val="24"/>
          <w:szCs w:val="24"/>
        </w:rPr>
        <w:t>1981);</w:t>
      </w:r>
      <w:r w:rsidRPr="00E123B5">
        <w:rPr>
          <w:rFonts w:ascii="Times New Roman" w:hAnsi="Times New Roman" w:cs="Times New Roman"/>
          <w:color w:val="000000"/>
          <w:sz w:val="24"/>
          <w:szCs w:val="24"/>
        </w:rPr>
        <w:t xml:space="preserve"> </w:t>
      </w:r>
      <w:r w:rsidRPr="00E123B5">
        <w:rPr>
          <w:rFonts w:ascii="Times New Roman" w:hAnsi="Times New Roman" w:cs="Times New Roman"/>
          <w:color w:val="000000"/>
          <w:kern w:val="36"/>
          <w:sz w:val="24"/>
          <w:szCs w:val="24"/>
        </w:rPr>
        <w:t>Variations in blood serotonin during antiepileptic therapy.</w:t>
      </w:r>
      <w:proofErr w:type="gramEnd"/>
      <w:r w:rsidRPr="00E123B5">
        <w:rPr>
          <w:rFonts w:ascii="Times New Roman" w:hAnsi="Times New Roman" w:cs="Times New Roman"/>
          <w:color w:val="000000"/>
          <w:sz w:val="24"/>
          <w:szCs w:val="24"/>
        </w:rPr>
        <w:t xml:space="preserve"> </w:t>
      </w:r>
      <w:hyperlink r:id="rId12" w:history="1">
        <w:proofErr w:type="spellStart"/>
        <w:proofErr w:type="gramStart"/>
        <w:r w:rsidRPr="00E123B5">
          <w:rPr>
            <w:rFonts w:ascii="Times New Roman" w:hAnsi="Times New Roman" w:cs="Times New Roman"/>
            <w:color w:val="000000"/>
            <w:sz w:val="24"/>
            <w:szCs w:val="24"/>
          </w:rPr>
          <w:t>Bollettino</w:t>
        </w:r>
        <w:proofErr w:type="spellEnd"/>
        <w:r w:rsidRPr="00E123B5">
          <w:rPr>
            <w:rFonts w:ascii="Times New Roman" w:hAnsi="Times New Roman" w:cs="Times New Roman"/>
            <w:color w:val="000000"/>
            <w:sz w:val="24"/>
            <w:szCs w:val="24"/>
          </w:rPr>
          <w:t xml:space="preserve"> Della </w:t>
        </w:r>
        <w:proofErr w:type="spellStart"/>
        <w:r w:rsidRPr="00E123B5">
          <w:rPr>
            <w:rFonts w:ascii="Times New Roman" w:hAnsi="Times New Roman" w:cs="Times New Roman"/>
            <w:color w:val="000000"/>
            <w:sz w:val="24"/>
            <w:szCs w:val="24"/>
          </w:rPr>
          <w:t>Società</w:t>
        </w:r>
        <w:proofErr w:type="spellEnd"/>
        <w:r w:rsidRPr="00E123B5">
          <w:rPr>
            <w:rFonts w:ascii="Times New Roman" w:hAnsi="Times New Roman" w:cs="Times New Roman"/>
            <w:color w:val="000000"/>
            <w:sz w:val="24"/>
            <w:szCs w:val="24"/>
          </w:rPr>
          <w:t xml:space="preserve"> </w:t>
        </w:r>
        <w:proofErr w:type="spellStart"/>
        <w:r w:rsidRPr="00E123B5">
          <w:rPr>
            <w:rFonts w:ascii="Times New Roman" w:hAnsi="Times New Roman" w:cs="Times New Roman"/>
            <w:color w:val="000000"/>
            <w:sz w:val="24"/>
            <w:szCs w:val="24"/>
          </w:rPr>
          <w:t>italiana</w:t>
        </w:r>
        <w:proofErr w:type="spellEnd"/>
        <w:r w:rsidRPr="00E123B5">
          <w:rPr>
            <w:rFonts w:ascii="Times New Roman" w:hAnsi="Times New Roman" w:cs="Times New Roman"/>
            <w:color w:val="000000"/>
            <w:sz w:val="24"/>
            <w:szCs w:val="24"/>
          </w:rPr>
          <w:t xml:space="preserve"> di </w:t>
        </w:r>
        <w:proofErr w:type="spellStart"/>
        <w:r w:rsidRPr="00E123B5">
          <w:rPr>
            <w:rFonts w:ascii="Times New Roman" w:hAnsi="Times New Roman" w:cs="Times New Roman"/>
            <w:color w:val="000000"/>
            <w:sz w:val="24"/>
            <w:szCs w:val="24"/>
          </w:rPr>
          <w:t>biologia</w:t>
        </w:r>
        <w:proofErr w:type="spellEnd"/>
        <w:r w:rsidRPr="00E123B5">
          <w:rPr>
            <w:rFonts w:ascii="Times New Roman" w:hAnsi="Times New Roman" w:cs="Times New Roman"/>
            <w:color w:val="000000"/>
            <w:sz w:val="24"/>
            <w:szCs w:val="24"/>
          </w:rPr>
          <w:t xml:space="preserve"> </w:t>
        </w:r>
        <w:proofErr w:type="spellStart"/>
        <w:r w:rsidRPr="00E123B5">
          <w:rPr>
            <w:rFonts w:ascii="Times New Roman" w:hAnsi="Times New Roman" w:cs="Times New Roman"/>
            <w:color w:val="000000"/>
            <w:sz w:val="24"/>
            <w:szCs w:val="24"/>
          </w:rPr>
          <w:t>sperimentale</w:t>
        </w:r>
        <w:proofErr w:type="spellEnd"/>
      </w:hyperlink>
      <w:r w:rsidRPr="00E123B5">
        <w:rPr>
          <w:rFonts w:ascii="Times New Roman" w:hAnsi="Times New Roman" w:cs="Times New Roman"/>
          <w:color w:val="000000"/>
          <w:sz w:val="24"/>
          <w:szCs w:val="24"/>
        </w:rPr>
        <w:t xml:space="preserve"> 57:23.</w:t>
      </w:r>
      <w:proofErr w:type="gramEnd"/>
    </w:p>
    <w:p w:rsidR="000A3F37" w:rsidRPr="00E123B5" w:rsidRDefault="000A3F37" w:rsidP="000A3F37">
      <w:pPr>
        <w:tabs>
          <w:tab w:val="left" w:pos="567"/>
        </w:tabs>
        <w:bidi w:val="0"/>
        <w:spacing w:before="240"/>
        <w:ind w:left="567" w:hanging="567"/>
        <w:jc w:val="both"/>
      </w:pPr>
      <w:hyperlink r:id="rId13" w:history="1">
        <w:proofErr w:type="gramStart"/>
        <w:r w:rsidRPr="000A3F37">
          <w:rPr>
            <w:rStyle w:val="Hyperlink"/>
            <w:b/>
            <w:bCs/>
            <w:color w:val="auto"/>
            <w:u w:val="none"/>
          </w:rPr>
          <w:t>Cowan</w:t>
        </w:r>
        <w:proofErr w:type="gramEnd"/>
        <w:r w:rsidRPr="000A3F37">
          <w:rPr>
            <w:rStyle w:val="Hyperlink"/>
            <w:b/>
            <w:bCs/>
            <w:color w:val="auto"/>
            <w:u w:val="none"/>
          </w:rPr>
          <w:t xml:space="preserve"> L</w:t>
        </w:r>
      </w:hyperlink>
      <w:r w:rsidRPr="000A3F37">
        <w:rPr>
          <w:b/>
          <w:bCs/>
        </w:rPr>
        <w:t>., (2002):</w:t>
      </w:r>
      <w:r w:rsidRPr="000A3F37">
        <w:t xml:space="preserve"> The epidemiology of the epilepsies in children. </w:t>
      </w:r>
      <w:hyperlink r:id="rId14" w:tooltip="Mental retardation and developmental disabilities research reviews." w:history="1">
        <w:proofErr w:type="spellStart"/>
        <w:r w:rsidRPr="000A3F37">
          <w:rPr>
            <w:rStyle w:val="Hyperlink"/>
            <w:color w:val="auto"/>
            <w:u w:val="none"/>
          </w:rPr>
          <w:t>Ment</w:t>
        </w:r>
        <w:proofErr w:type="spellEnd"/>
        <w:r w:rsidRPr="000A3F37">
          <w:rPr>
            <w:rStyle w:val="Hyperlink"/>
            <w:color w:val="auto"/>
            <w:u w:val="none"/>
          </w:rPr>
          <w:t xml:space="preserve"> Retard Dev </w:t>
        </w:r>
        <w:proofErr w:type="spellStart"/>
        <w:r w:rsidRPr="000A3F37">
          <w:rPr>
            <w:rStyle w:val="Hyperlink"/>
            <w:color w:val="auto"/>
            <w:u w:val="none"/>
          </w:rPr>
          <w:t>Disabil</w:t>
        </w:r>
        <w:proofErr w:type="spellEnd"/>
        <w:r w:rsidRPr="000A3F37">
          <w:rPr>
            <w:rStyle w:val="Hyperlink"/>
            <w:color w:val="auto"/>
            <w:u w:val="none"/>
          </w:rPr>
          <w:t xml:space="preserve"> Res</w:t>
        </w:r>
        <w:r w:rsidRPr="000A3F37">
          <w:rPr>
            <w:rStyle w:val="Hyperlink"/>
            <w:color w:val="auto"/>
          </w:rPr>
          <w:t xml:space="preserve"> </w:t>
        </w:r>
        <w:r w:rsidRPr="000A3F37">
          <w:rPr>
            <w:rStyle w:val="Hyperlink"/>
            <w:color w:val="auto"/>
            <w:u w:val="none"/>
          </w:rPr>
          <w:t>Rev.</w:t>
        </w:r>
      </w:hyperlink>
      <w:r w:rsidRPr="00E123B5">
        <w:t>; 8(3):171-81.</w:t>
      </w:r>
    </w:p>
    <w:p w:rsidR="000A3F37" w:rsidRPr="00E123B5" w:rsidRDefault="000A3F37" w:rsidP="000A3F37">
      <w:pPr>
        <w:pStyle w:val="ListParagraph"/>
        <w:tabs>
          <w:tab w:val="left" w:pos="567"/>
        </w:tabs>
        <w:spacing w:before="240" w:after="0" w:line="240" w:lineRule="auto"/>
        <w:ind w:left="567" w:hanging="567"/>
        <w:contextualSpacing/>
        <w:jc w:val="both"/>
        <w:rPr>
          <w:rFonts w:ascii="Times New Roman" w:hAnsi="Times New Roman" w:cs="Times New Roman"/>
          <w:color w:val="000000"/>
          <w:sz w:val="24"/>
          <w:szCs w:val="24"/>
        </w:rPr>
      </w:pPr>
      <w:hyperlink r:id="rId15" w:history="1">
        <w:r w:rsidRPr="00E123B5">
          <w:rPr>
            <w:rFonts w:ascii="Times New Roman" w:hAnsi="Times New Roman" w:cs="Times New Roman"/>
            <w:b/>
            <w:bCs/>
            <w:color w:val="000000"/>
            <w:sz w:val="24"/>
            <w:szCs w:val="24"/>
          </w:rPr>
          <w:t>Dailey JW</w:t>
        </w:r>
      </w:hyperlink>
      <w:r w:rsidRPr="00E123B5">
        <w:rPr>
          <w:rFonts w:ascii="Times New Roman" w:hAnsi="Times New Roman" w:cs="Times New Roman"/>
          <w:b/>
          <w:bCs/>
          <w:color w:val="000000"/>
          <w:sz w:val="24"/>
          <w:szCs w:val="24"/>
        </w:rPr>
        <w:t xml:space="preserve">, </w:t>
      </w:r>
      <w:hyperlink r:id="rId16" w:history="1">
        <w:r w:rsidRPr="00E123B5">
          <w:rPr>
            <w:rFonts w:ascii="Times New Roman" w:hAnsi="Times New Roman" w:cs="Times New Roman"/>
            <w:b/>
            <w:bCs/>
            <w:color w:val="000000"/>
            <w:sz w:val="24"/>
            <w:szCs w:val="24"/>
          </w:rPr>
          <w:t>Reith ME</w:t>
        </w:r>
      </w:hyperlink>
      <w:r w:rsidRPr="00E123B5">
        <w:rPr>
          <w:rFonts w:ascii="Times New Roman" w:hAnsi="Times New Roman" w:cs="Times New Roman"/>
          <w:b/>
          <w:bCs/>
          <w:color w:val="000000"/>
          <w:sz w:val="24"/>
          <w:szCs w:val="24"/>
        </w:rPr>
        <w:t xml:space="preserve">, </w:t>
      </w:r>
      <w:hyperlink r:id="rId17" w:history="1">
        <w:r w:rsidRPr="00E123B5">
          <w:rPr>
            <w:rFonts w:ascii="Times New Roman" w:hAnsi="Times New Roman" w:cs="Times New Roman"/>
            <w:b/>
            <w:bCs/>
            <w:color w:val="000000"/>
            <w:sz w:val="24"/>
            <w:szCs w:val="24"/>
          </w:rPr>
          <w:t>Yan QS</w:t>
        </w:r>
      </w:hyperlink>
      <w:r w:rsidRPr="00E123B5">
        <w:rPr>
          <w:rFonts w:ascii="Times New Roman" w:hAnsi="Times New Roman" w:cs="Times New Roman"/>
          <w:b/>
          <w:bCs/>
          <w:color w:val="000000"/>
          <w:sz w:val="24"/>
          <w:szCs w:val="24"/>
        </w:rPr>
        <w:t xml:space="preserve">, </w:t>
      </w:r>
      <w:hyperlink r:id="rId18" w:history="1">
        <w:r w:rsidRPr="00E123B5">
          <w:rPr>
            <w:rFonts w:ascii="Times New Roman" w:hAnsi="Times New Roman" w:cs="Times New Roman"/>
            <w:b/>
            <w:bCs/>
            <w:color w:val="000000"/>
            <w:sz w:val="24"/>
            <w:szCs w:val="24"/>
          </w:rPr>
          <w:t>Li MY</w:t>
        </w:r>
      </w:hyperlink>
      <w:r w:rsidRPr="00E123B5">
        <w:rPr>
          <w:rFonts w:ascii="Times New Roman" w:hAnsi="Times New Roman" w:cs="Times New Roman"/>
          <w:b/>
          <w:bCs/>
          <w:color w:val="000000"/>
          <w:sz w:val="24"/>
          <w:szCs w:val="24"/>
        </w:rPr>
        <w:t xml:space="preserve">, </w:t>
      </w:r>
      <w:hyperlink r:id="rId19" w:history="1">
        <w:proofErr w:type="spellStart"/>
        <w:r w:rsidRPr="00E123B5">
          <w:rPr>
            <w:rFonts w:ascii="Times New Roman" w:hAnsi="Times New Roman" w:cs="Times New Roman"/>
            <w:b/>
            <w:bCs/>
            <w:color w:val="000000"/>
            <w:sz w:val="24"/>
            <w:szCs w:val="24"/>
          </w:rPr>
          <w:t>Jobe</w:t>
        </w:r>
        <w:proofErr w:type="spellEnd"/>
        <w:r w:rsidRPr="00E123B5">
          <w:rPr>
            <w:rFonts w:ascii="Times New Roman" w:hAnsi="Times New Roman" w:cs="Times New Roman"/>
            <w:b/>
            <w:bCs/>
            <w:color w:val="000000"/>
            <w:sz w:val="24"/>
            <w:szCs w:val="24"/>
          </w:rPr>
          <w:t xml:space="preserve"> PC</w:t>
        </w:r>
      </w:hyperlink>
      <w:r w:rsidRPr="00E123B5">
        <w:rPr>
          <w:rFonts w:ascii="Times New Roman" w:hAnsi="Times New Roman" w:cs="Times New Roman"/>
          <w:b/>
          <w:bCs/>
          <w:color w:val="000000"/>
          <w:sz w:val="24"/>
          <w:szCs w:val="24"/>
        </w:rPr>
        <w:t xml:space="preserve">.(1997): </w:t>
      </w:r>
      <w:r w:rsidRPr="00E123B5">
        <w:rPr>
          <w:rFonts w:ascii="Times New Roman" w:hAnsi="Times New Roman" w:cs="Times New Roman"/>
          <w:color w:val="000000"/>
          <w:kern w:val="36"/>
          <w:sz w:val="24"/>
          <w:szCs w:val="24"/>
        </w:rPr>
        <w:t>Anticonvulsant doses of carbamazepine increase hippocampal extracellular serotonin in genetically epilepsy-prone rats: dose response relationships.</w:t>
      </w:r>
      <w:r w:rsidRPr="00E123B5">
        <w:rPr>
          <w:rFonts w:ascii="Times New Roman" w:hAnsi="Times New Roman" w:cs="Times New Roman"/>
          <w:color w:val="000000"/>
          <w:sz w:val="24"/>
          <w:szCs w:val="24"/>
        </w:rPr>
        <w:t xml:space="preserve"> </w:t>
      </w:r>
      <w:hyperlink r:id="rId20" w:tooltip="Neuroscience letters." w:history="1">
        <w:proofErr w:type="spellStart"/>
        <w:r w:rsidRPr="00E123B5">
          <w:rPr>
            <w:rFonts w:ascii="Times New Roman" w:hAnsi="Times New Roman" w:cs="Times New Roman"/>
            <w:color w:val="000000"/>
            <w:sz w:val="24"/>
            <w:szCs w:val="24"/>
          </w:rPr>
          <w:t>Neurosci</w:t>
        </w:r>
        <w:proofErr w:type="spellEnd"/>
        <w:r w:rsidRPr="00E123B5">
          <w:rPr>
            <w:rFonts w:ascii="Times New Roman" w:hAnsi="Times New Roman" w:cs="Times New Roman"/>
            <w:color w:val="000000"/>
            <w:sz w:val="24"/>
            <w:szCs w:val="24"/>
          </w:rPr>
          <w:t xml:space="preserve"> </w:t>
        </w:r>
        <w:proofErr w:type="spellStart"/>
        <w:r w:rsidRPr="00E123B5">
          <w:rPr>
            <w:rFonts w:ascii="Times New Roman" w:hAnsi="Times New Roman" w:cs="Times New Roman"/>
            <w:color w:val="000000"/>
            <w:sz w:val="24"/>
            <w:szCs w:val="24"/>
          </w:rPr>
          <w:t>Lett</w:t>
        </w:r>
        <w:proofErr w:type="spellEnd"/>
        <w:r w:rsidRPr="00E123B5">
          <w:rPr>
            <w:rFonts w:ascii="Times New Roman" w:hAnsi="Times New Roman" w:cs="Times New Roman"/>
            <w:color w:val="000000"/>
            <w:sz w:val="24"/>
            <w:szCs w:val="24"/>
          </w:rPr>
          <w:t>;</w:t>
        </w:r>
      </w:hyperlink>
      <w:r w:rsidRPr="00E123B5">
        <w:rPr>
          <w:rFonts w:ascii="Times New Roman" w:hAnsi="Times New Roman" w:cs="Times New Roman"/>
          <w:color w:val="000000"/>
          <w:sz w:val="24"/>
          <w:szCs w:val="24"/>
        </w:rPr>
        <w:t xml:space="preserve"> 9, 227(1):13-6.</w:t>
      </w:r>
    </w:p>
    <w:p w:rsidR="000A3F37" w:rsidRPr="00E123B5" w:rsidRDefault="000A3F37" w:rsidP="000A3F37">
      <w:pPr>
        <w:tabs>
          <w:tab w:val="left" w:pos="567"/>
        </w:tabs>
        <w:bidi w:val="0"/>
        <w:spacing w:before="240"/>
        <w:ind w:left="567" w:hanging="567"/>
        <w:rPr>
          <w:sz w:val="28"/>
          <w:szCs w:val="28"/>
        </w:rPr>
      </w:pPr>
      <w:r w:rsidRPr="00E123B5">
        <w:rPr>
          <w:b/>
          <w:bCs/>
          <w:spacing w:val="-2"/>
        </w:rPr>
        <w:t>Panayiotopoulos CP. (2005):</w:t>
      </w:r>
      <w:r w:rsidRPr="00E123B5">
        <w:rPr>
          <w:spacing w:val="-2"/>
        </w:rPr>
        <w:t xml:space="preserve"> Idiopathic generalized epilepsies: a review and modern approach. In Panayiotopoulos CP, </w:t>
      </w:r>
      <w:proofErr w:type="gramStart"/>
      <w:r w:rsidRPr="00E123B5">
        <w:rPr>
          <w:spacing w:val="-2"/>
        </w:rPr>
        <w:t>ed</w:t>
      </w:r>
      <w:proofErr w:type="gramEnd"/>
      <w:r w:rsidRPr="00E123B5">
        <w:rPr>
          <w:spacing w:val="-2"/>
        </w:rPr>
        <w:t xml:space="preserve">. The epilepsies: </w:t>
      </w:r>
      <w:r w:rsidRPr="00E123B5">
        <w:rPr>
          <w:sz w:val="28"/>
          <w:szCs w:val="28"/>
        </w:rPr>
        <w:t xml:space="preserve">seizures, syndromes and management. Oxford. </w:t>
      </w:r>
      <w:proofErr w:type="spellStart"/>
      <w:proofErr w:type="gramStart"/>
      <w:r w:rsidRPr="00E123B5">
        <w:rPr>
          <w:sz w:val="28"/>
          <w:szCs w:val="28"/>
        </w:rPr>
        <w:t>Bladon</w:t>
      </w:r>
      <w:proofErr w:type="spellEnd"/>
      <w:r w:rsidRPr="00E123B5">
        <w:rPr>
          <w:sz w:val="28"/>
          <w:szCs w:val="28"/>
        </w:rPr>
        <w:t xml:space="preserve"> Medical </w:t>
      </w:r>
      <w:r w:rsidR="008B4125" w:rsidRPr="00E123B5">
        <w:rPr>
          <w:sz w:val="28"/>
          <w:szCs w:val="28"/>
        </w:rPr>
        <w:t>Publishing.</w:t>
      </w:r>
      <w:proofErr w:type="gramEnd"/>
      <w:r w:rsidRPr="00E123B5">
        <w:rPr>
          <w:sz w:val="28"/>
          <w:szCs w:val="28"/>
        </w:rPr>
        <w:t xml:space="preserve"> </w:t>
      </w:r>
      <w:proofErr w:type="gramStart"/>
      <w:r w:rsidRPr="00E123B5">
        <w:rPr>
          <w:sz w:val="28"/>
          <w:szCs w:val="28"/>
        </w:rPr>
        <w:t>271-348.</w:t>
      </w:r>
      <w:proofErr w:type="gramEnd"/>
    </w:p>
    <w:p w:rsidR="000A3F37" w:rsidRPr="00E123B5" w:rsidRDefault="000A3F37" w:rsidP="000A3F37">
      <w:pPr>
        <w:tabs>
          <w:tab w:val="left" w:pos="567"/>
        </w:tabs>
        <w:bidi w:val="0"/>
        <w:spacing w:before="240"/>
        <w:ind w:left="567" w:hanging="567"/>
        <w:jc w:val="both"/>
      </w:pPr>
      <w:r w:rsidRPr="00E123B5">
        <w:rPr>
          <w:b/>
          <w:bCs/>
        </w:rPr>
        <w:t xml:space="preserve">El-Khayat H, El-Hodhod M and Abdel Aziz H. (1994): </w:t>
      </w:r>
      <w:r w:rsidRPr="00E123B5">
        <w:t xml:space="preserve">Prevalence and epidemiology of epilepsy among Egyptian infants and children. Sci. Med. J. </w:t>
      </w:r>
      <w:proofErr w:type="spellStart"/>
      <w:proofErr w:type="gramStart"/>
      <w:r w:rsidRPr="00E123B5">
        <w:t>Cai</w:t>
      </w:r>
      <w:proofErr w:type="spellEnd"/>
      <w:proofErr w:type="gramEnd"/>
      <w:r w:rsidRPr="00E123B5">
        <w:t>. Synd.; 6(2):93-101.</w:t>
      </w:r>
    </w:p>
    <w:p w:rsidR="000A3F37" w:rsidRPr="00E123B5" w:rsidRDefault="000A3F37" w:rsidP="000A3F37">
      <w:pPr>
        <w:tabs>
          <w:tab w:val="left" w:pos="567"/>
        </w:tabs>
        <w:bidi w:val="0"/>
        <w:spacing w:before="240"/>
        <w:ind w:left="567" w:hanging="567"/>
      </w:pPr>
      <w:r w:rsidRPr="00E123B5">
        <w:rPr>
          <w:b/>
          <w:bCs/>
        </w:rPr>
        <w:t xml:space="preserve">Berg T, </w:t>
      </w:r>
      <w:proofErr w:type="spellStart"/>
      <w:r w:rsidRPr="00E123B5">
        <w:rPr>
          <w:b/>
          <w:bCs/>
        </w:rPr>
        <w:t>Berkovic</w:t>
      </w:r>
      <w:proofErr w:type="spellEnd"/>
      <w:r w:rsidRPr="00E123B5">
        <w:rPr>
          <w:b/>
          <w:bCs/>
        </w:rPr>
        <w:t xml:space="preserve"> F, </w:t>
      </w:r>
      <w:proofErr w:type="spellStart"/>
      <w:r w:rsidRPr="00E123B5">
        <w:rPr>
          <w:b/>
          <w:bCs/>
        </w:rPr>
        <w:t>Brodie</w:t>
      </w:r>
      <w:proofErr w:type="spellEnd"/>
      <w:r w:rsidRPr="00E123B5">
        <w:rPr>
          <w:b/>
          <w:bCs/>
        </w:rPr>
        <w:t xml:space="preserve"> J, et al. (2010):</w:t>
      </w:r>
      <w:r w:rsidRPr="00E123B5">
        <w:rPr>
          <w:b/>
          <w:bCs/>
          <w:spacing w:val="-6"/>
          <w:sz w:val="22"/>
          <w:szCs w:val="22"/>
        </w:rPr>
        <w:t xml:space="preserve"> </w:t>
      </w:r>
      <w:r w:rsidRPr="00E123B5">
        <w:t>Revised terminology and concepts for organization of seizures and epilepsies: Report of the ILAE Commission on Classification and Terminology, 2005–2009: Epilepsia;</w:t>
      </w:r>
      <w:hyperlink r:id="rId21" w:history="1">
        <w:r w:rsidRPr="00E123B5">
          <w:t xml:space="preserve"> 51(4):</w:t>
        </w:r>
      </w:hyperlink>
      <w:r w:rsidRPr="00E123B5">
        <w:t xml:space="preserve"> 676–685.</w:t>
      </w:r>
    </w:p>
    <w:p w:rsidR="000A3F37" w:rsidRPr="00E123B5" w:rsidRDefault="000A3F37" w:rsidP="000A3F37">
      <w:pPr>
        <w:pStyle w:val="ListParagraph"/>
        <w:tabs>
          <w:tab w:val="left" w:pos="567"/>
        </w:tabs>
        <w:spacing w:before="240" w:after="0" w:line="240" w:lineRule="auto"/>
        <w:ind w:left="567" w:hanging="567"/>
        <w:contextualSpacing/>
        <w:jc w:val="both"/>
        <w:rPr>
          <w:rFonts w:ascii="Times New Roman" w:hAnsi="Times New Roman" w:cs="Times New Roman"/>
          <w:sz w:val="24"/>
          <w:szCs w:val="24"/>
        </w:rPr>
      </w:pPr>
      <w:proofErr w:type="spellStart"/>
      <w:r w:rsidRPr="00E123B5">
        <w:rPr>
          <w:rFonts w:ascii="Times New Roman" w:hAnsi="Times New Roman" w:cs="Times New Roman"/>
          <w:b/>
          <w:bCs/>
          <w:sz w:val="24"/>
          <w:szCs w:val="24"/>
        </w:rPr>
        <w:t>Hasler</w:t>
      </w:r>
      <w:proofErr w:type="spellEnd"/>
      <w:r w:rsidRPr="00E123B5">
        <w:rPr>
          <w:rFonts w:ascii="Times New Roman" w:hAnsi="Times New Roman" w:cs="Times New Roman"/>
          <w:b/>
          <w:bCs/>
          <w:sz w:val="24"/>
          <w:szCs w:val="24"/>
        </w:rPr>
        <w:t xml:space="preserve"> G, </w:t>
      </w:r>
      <w:proofErr w:type="spellStart"/>
      <w:r w:rsidRPr="00E123B5">
        <w:rPr>
          <w:rFonts w:ascii="Times New Roman" w:hAnsi="Times New Roman" w:cs="Times New Roman"/>
          <w:b/>
          <w:bCs/>
          <w:sz w:val="24"/>
          <w:szCs w:val="24"/>
        </w:rPr>
        <w:t>Bonwetsch</w:t>
      </w:r>
      <w:proofErr w:type="spellEnd"/>
      <w:r w:rsidRPr="00E123B5">
        <w:rPr>
          <w:rFonts w:ascii="Times New Roman" w:hAnsi="Times New Roman" w:cs="Times New Roman"/>
          <w:b/>
          <w:bCs/>
          <w:sz w:val="24"/>
          <w:szCs w:val="24"/>
        </w:rPr>
        <w:t xml:space="preserve"> R, </w:t>
      </w:r>
      <w:proofErr w:type="spellStart"/>
      <w:r w:rsidRPr="00E123B5">
        <w:rPr>
          <w:rFonts w:ascii="Times New Roman" w:hAnsi="Times New Roman" w:cs="Times New Roman"/>
          <w:b/>
          <w:bCs/>
          <w:sz w:val="24"/>
          <w:szCs w:val="24"/>
        </w:rPr>
        <w:t>Giovacchini</w:t>
      </w:r>
      <w:proofErr w:type="spellEnd"/>
      <w:r w:rsidRPr="00E123B5">
        <w:rPr>
          <w:rFonts w:ascii="Times New Roman" w:hAnsi="Times New Roman" w:cs="Times New Roman"/>
          <w:b/>
          <w:bCs/>
          <w:sz w:val="24"/>
          <w:szCs w:val="24"/>
        </w:rPr>
        <w:t xml:space="preserve"> G, et al. (2007): </w:t>
      </w:r>
      <w:r w:rsidRPr="00E123B5">
        <w:rPr>
          <w:rFonts w:ascii="Times New Roman" w:hAnsi="Times New Roman" w:cs="Times New Roman"/>
          <w:sz w:val="24"/>
          <w:szCs w:val="24"/>
        </w:rPr>
        <w:t xml:space="preserve">5-HT1A receptor binding in temporal lobe epilepsy patients with and without major depression. </w:t>
      </w:r>
      <w:proofErr w:type="spellStart"/>
      <w:r w:rsidRPr="00E123B5">
        <w:rPr>
          <w:rFonts w:ascii="Times New Roman" w:hAnsi="Times New Roman" w:cs="Times New Roman"/>
          <w:sz w:val="24"/>
          <w:szCs w:val="24"/>
        </w:rPr>
        <w:t>Biol</w:t>
      </w:r>
      <w:proofErr w:type="spellEnd"/>
      <w:r w:rsidRPr="00E123B5">
        <w:rPr>
          <w:rFonts w:ascii="Times New Roman" w:hAnsi="Times New Roman" w:cs="Times New Roman"/>
          <w:sz w:val="24"/>
          <w:szCs w:val="24"/>
        </w:rPr>
        <w:t xml:space="preserve"> Psychiatry; 62:1258–64. </w:t>
      </w:r>
    </w:p>
    <w:p w:rsidR="000A3F37" w:rsidRPr="00E123B5" w:rsidRDefault="000A3F37" w:rsidP="000A3F37">
      <w:pPr>
        <w:tabs>
          <w:tab w:val="left" w:pos="567"/>
        </w:tabs>
        <w:bidi w:val="0"/>
        <w:spacing w:before="240"/>
        <w:ind w:left="567" w:hanging="567"/>
        <w:jc w:val="both"/>
        <w:rPr>
          <w:spacing w:val="-6"/>
        </w:rPr>
      </w:pPr>
      <w:r w:rsidRPr="00E123B5">
        <w:rPr>
          <w:b/>
          <w:bCs/>
          <w:spacing w:val="-6"/>
        </w:rPr>
        <w:t xml:space="preserve">Hauser W and </w:t>
      </w:r>
      <w:proofErr w:type="spellStart"/>
      <w:r w:rsidRPr="00E123B5">
        <w:rPr>
          <w:b/>
          <w:bCs/>
          <w:spacing w:val="-6"/>
        </w:rPr>
        <w:t>Hesdorfer</w:t>
      </w:r>
      <w:proofErr w:type="spellEnd"/>
      <w:r w:rsidRPr="00E123B5">
        <w:rPr>
          <w:b/>
          <w:bCs/>
          <w:spacing w:val="-6"/>
        </w:rPr>
        <w:t xml:space="preserve"> A. (1990):</w:t>
      </w:r>
      <w:r w:rsidRPr="00E123B5">
        <w:rPr>
          <w:spacing w:val="-6"/>
        </w:rPr>
        <w:t xml:space="preserve"> Mechanism of epileptogenesis and the expansion of epileptiform activity. In: The treatment of epilepsy: Principals and practice. Wyllie E. (Ed), 2</w:t>
      </w:r>
      <w:r w:rsidRPr="00E123B5">
        <w:rPr>
          <w:spacing w:val="-6"/>
          <w:vertAlign w:val="superscript"/>
        </w:rPr>
        <w:t>nd</w:t>
      </w:r>
      <w:r w:rsidRPr="00E123B5">
        <w:rPr>
          <w:spacing w:val="-6"/>
        </w:rPr>
        <w:t xml:space="preserve"> edition, Williams and Wilkins; 8:33-50. </w:t>
      </w:r>
    </w:p>
    <w:p w:rsidR="000A3F37" w:rsidRPr="00E123B5" w:rsidRDefault="000A3F37" w:rsidP="000A3F37">
      <w:pPr>
        <w:tabs>
          <w:tab w:val="left" w:pos="567"/>
        </w:tabs>
        <w:bidi w:val="0"/>
        <w:spacing w:before="240"/>
        <w:ind w:left="567" w:hanging="567"/>
        <w:jc w:val="both"/>
      </w:pPr>
      <w:r w:rsidRPr="00E123B5">
        <w:rPr>
          <w:b/>
          <w:bCs/>
        </w:rPr>
        <w:t>Johnston M. (2008):</w:t>
      </w:r>
      <w:r w:rsidRPr="00E123B5">
        <w:t xml:space="preserve"> </w:t>
      </w:r>
      <w:r w:rsidRPr="00E123B5">
        <w:rPr>
          <w:rStyle w:val="chapter-title1"/>
        </w:rPr>
        <w:t>Seizures in childhood</w:t>
      </w:r>
      <w:r w:rsidRPr="00E123B5">
        <w:t xml:space="preserve">. In: Nelson Textbook of Pediatrics. </w:t>
      </w:r>
      <w:proofErr w:type="spellStart"/>
      <w:r w:rsidRPr="00E123B5">
        <w:t>Kliegman</w:t>
      </w:r>
      <w:proofErr w:type="spellEnd"/>
      <w:r w:rsidRPr="00E123B5">
        <w:t xml:space="preserve"> R, Behrman R, Jenson H, and Stanton B. (</w:t>
      </w:r>
      <w:proofErr w:type="spellStart"/>
      <w:r w:rsidRPr="00E123B5">
        <w:t>eds</w:t>
      </w:r>
      <w:proofErr w:type="spellEnd"/>
      <w:r w:rsidRPr="00E123B5">
        <w:t>), 1</w:t>
      </w:r>
      <w:r w:rsidRPr="00E123B5">
        <w:rPr>
          <w:vertAlign w:val="superscript"/>
        </w:rPr>
        <w:t>8th</w:t>
      </w:r>
      <w:r w:rsidRPr="00E123B5">
        <w:t xml:space="preserve"> edition</w:t>
      </w:r>
      <w:bookmarkStart w:id="0" w:name="4-u1.0-B978-1-4160-2450-7..50595-8_10777"/>
      <w:bookmarkStart w:id="1" w:name="4-u1.0-B978-1-4160-2450-7..50595-8"/>
      <w:bookmarkStart w:id="2" w:name="4-u1.0-B978-1-4160-2450-7..50595-8--chap"/>
      <w:bookmarkEnd w:id="0"/>
      <w:bookmarkEnd w:id="1"/>
      <w:bookmarkEnd w:id="2"/>
      <w:r w:rsidRPr="00E123B5">
        <w:t>, Saunders WB</w:t>
      </w:r>
      <w:r w:rsidRPr="00E123B5">
        <w:rPr>
          <w:rStyle w:val="chapter-title1"/>
        </w:rPr>
        <w:t>, chapter: 593, pp.</w:t>
      </w:r>
      <w:r w:rsidRPr="00E123B5">
        <w:t xml:space="preserve">:2457-75. </w:t>
      </w:r>
    </w:p>
    <w:p w:rsidR="000A3F37" w:rsidRPr="00E123B5" w:rsidRDefault="000A3F37" w:rsidP="000A3F37">
      <w:pPr>
        <w:pStyle w:val="ListParagraph"/>
        <w:widowControl w:val="0"/>
        <w:tabs>
          <w:tab w:val="left" w:pos="567"/>
        </w:tabs>
        <w:autoSpaceDE w:val="0"/>
        <w:autoSpaceDN w:val="0"/>
        <w:adjustRightInd w:val="0"/>
        <w:spacing w:before="240" w:after="0" w:line="240" w:lineRule="auto"/>
        <w:ind w:left="567" w:hanging="567"/>
        <w:contextualSpacing/>
        <w:jc w:val="both"/>
        <w:rPr>
          <w:rFonts w:ascii="Times New Roman" w:hAnsi="Times New Roman" w:cs="Times New Roman"/>
          <w:color w:val="000000"/>
          <w:sz w:val="24"/>
          <w:szCs w:val="24"/>
        </w:rPr>
      </w:pPr>
      <w:proofErr w:type="spellStart"/>
      <w:r w:rsidRPr="00E123B5">
        <w:rPr>
          <w:rFonts w:ascii="Times New Roman" w:hAnsi="Times New Roman" w:cs="Times New Roman"/>
          <w:b/>
          <w:bCs/>
          <w:sz w:val="24"/>
          <w:szCs w:val="24"/>
        </w:rPr>
        <w:t>Kanner</w:t>
      </w:r>
      <w:proofErr w:type="spellEnd"/>
      <w:r w:rsidRPr="00E123B5">
        <w:rPr>
          <w:rFonts w:ascii="Times New Roman" w:hAnsi="Times New Roman" w:cs="Times New Roman"/>
          <w:b/>
          <w:bCs/>
          <w:sz w:val="24"/>
          <w:szCs w:val="24"/>
        </w:rPr>
        <w:t xml:space="preserve"> AM. (2006):</w:t>
      </w:r>
      <w:r w:rsidRPr="00E123B5">
        <w:rPr>
          <w:rFonts w:ascii="Times New Roman" w:hAnsi="Times New Roman" w:cs="Times New Roman"/>
          <w:sz w:val="24"/>
          <w:szCs w:val="24"/>
        </w:rPr>
        <w:t xml:space="preserve"> Epilepsy, suicidal behaviour, and depression: do they share common pathogenic mechanisms? Lancet </w:t>
      </w:r>
      <w:proofErr w:type="spellStart"/>
      <w:r w:rsidRPr="00E123B5">
        <w:rPr>
          <w:rFonts w:ascii="Times New Roman" w:hAnsi="Times New Roman" w:cs="Times New Roman"/>
          <w:sz w:val="24"/>
          <w:szCs w:val="24"/>
        </w:rPr>
        <w:t>Neurol</w:t>
      </w:r>
      <w:proofErr w:type="spellEnd"/>
      <w:r w:rsidRPr="00E123B5">
        <w:rPr>
          <w:rFonts w:ascii="Times New Roman" w:hAnsi="Times New Roman" w:cs="Times New Roman"/>
          <w:sz w:val="24"/>
          <w:szCs w:val="24"/>
        </w:rPr>
        <w:t xml:space="preserve">; 5:107–8. </w:t>
      </w:r>
    </w:p>
    <w:p w:rsidR="000A3F37" w:rsidRPr="00E123B5" w:rsidRDefault="000A3F37" w:rsidP="000A3F37">
      <w:pPr>
        <w:pStyle w:val="ListParagraph"/>
        <w:tabs>
          <w:tab w:val="left" w:pos="567"/>
        </w:tabs>
        <w:autoSpaceDE w:val="0"/>
        <w:autoSpaceDN w:val="0"/>
        <w:adjustRightInd w:val="0"/>
        <w:spacing w:before="240" w:after="0" w:line="240" w:lineRule="auto"/>
        <w:ind w:left="567" w:hanging="567"/>
        <w:contextualSpacing/>
        <w:jc w:val="both"/>
        <w:rPr>
          <w:rFonts w:ascii="Times New Roman" w:hAnsi="Times New Roman" w:cs="Times New Roman"/>
          <w:color w:val="000000"/>
          <w:sz w:val="24"/>
          <w:szCs w:val="24"/>
        </w:rPr>
      </w:pPr>
      <w:proofErr w:type="spellStart"/>
      <w:r w:rsidRPr="00E123B5">
        <w:rPr>
          <w:rFonts w:ascii="Times New Roman" w:hAnsi="Times New Roman" w:cs="Times New Roman"/>
          <w:b/>
          <w:bCs/>
          <w:color w:val="000000"/>
          <w:sz w:val="24"/>
          <w:szCs w:val="24"/>
        </w:rPr>
        <w:t>Ko</w:t>
      </w:r>
      <w:proofErr w:type="spellEnd"/>
      <w:r w:rsidRPr="00E123B5">
        <w:rPr>
          <w:rFonts w:ascii="Times New Roman" w:hAnsi="Times New Roman" w:cs="Times New Roman"/>
          <w:b/>
          <w:bCs/>
          <w:color w:val="000000"/>
          <w:sz w:val="24"/>
          <w:szCs w:val="24"/>
        </w:rPr>
        <w:t xml:space="preserve"> FJ, Chiang CH, Liu WJ, Chiang W. (1993):</w:t>
      </w:r>
      <w:r w:rsidRPr="00E123B5">
        <w:rPr>
          <w:rFonts w:ascii="Times New Roman" w:hAnsi="Times New Roman" w:cs="Times New Roman"/>
          <w:color w:val="000000"/>
          <w:sz w:val="24"/>
          <w:szCs w:val="24"/>
        </w:rPr>
        <w:t xml:space="preserve"> Alteration of amino acid in plasma and cerebrospinal fluid of children with seizure disorders. KO </w:t>
      </w:r>
      <w:proofErr w:type="spellStart"/>
      <w:r w:rsidRPr="00E123B5">
        <w:rPr>
          <w:rFonts w:ascii="Times New Roman" w:hAnsi="Times New Roman" w:cs="Times New Roman"/>
          <w:color w:val="000000"/>
          <w:sz w:val="24"/>
          <w:szCs w:val="24"/>
        </w:rPr>
        <w:t>Hsiung</w:t>
      </w:r>
      <w:proofErr w:type="spellEnd"/>
      <w:r w:rsidRPr="00E123B5">
        <w:rPr>
          <w:rFonts w:ascii="Times New Roman" w:hAnsi="Times New Roman" w:cs="Times New Roman"/>
          <w:color w:val="000000"/>
          <w:sz w:val="24"/>
          <w:szCs w:val="24"/>
        </w:rPr>
        <w:t xml:space="preserve"> I </w:t>
      </w:r>
      <w:proofErr w:type="spellStart"/>
      <w:r w:rsidRPr="00E123B5">
        <w:rPr>
          <w:rFonts w:ascii="Times New Roman" w:hAnsi="Times New Roman" w:cs="Times New Roman"/>
          <w:color w:val="000000"/>
          <w:sz w:val="24"/>
          <w:szCs w:val="24"/>
        </w:rPr>
        <w:t>Hsueh</w:t>
      </w:r>
      <w:proofErr w:type="spellEnd"/>
      <w:r w:rsidRPr="00E123B5">
        <w:rPr>
          <w:rFonts w:ascii="Times New Roman" w:hAnsi="Times New Roman" w:cs="Times New Roman"/>
          <w:color w:val="000000"/>
          <w:sz w:val="24"/>
          <w:szCs w:val="24"/>
        </w:rPr>
        <w:t xml:space="preserve"> </w:t>
      </w:r>
      <w:proofErr w:type="spellStart"/>
      <w:proofErr w:type="gramStart"/>
      <w:r w:rsidRPr="00E123B5">
        <w:rPr>
          <w:rFonts w:ascii="Times New Roman" w:hAnsi="Times New Roman" w:cs="Times New Roman"/>
          <w:color w:val="000000"/>
          <w:sz w:val="24"/>
          <w:szCs w:val="24"/>
        </w:rPr>
        <w:t>Ko</w:t>
      </w:r>
      <w:proofErr w:type="spellEnd"/>
      <w:proofErr w:type="gramEnd"/>
      <w:r w:rsidRPr="00E123B5">
        <w:rPr>
          <w:rFonts w:ascii="Times New Roman" w:hAnsi="Times New Roman" w:cs="Times New Roman"/>
          <w:color w:val="000000"/>
          <w:sz w:val="24"/>
          <w:szCs w:val="24"/>
        </w:rPr>
        <w:t xml:space="preserve"> </w:t>
      </w:r>
      <w:proofErr w:type="spellStart"/>
      <w:r w:rsidRPr="00E123B5">
        <w:rPr>
          <w:rFonts w:ascii="Times New Roman" w:hAnsi="Times New Roman" w:cs="Times New Roman"/>
          <w:color w:val="000000"/>
          <w:sz w:val="24"/>
          <w:szCs w:val="24"/>
        </w:rPr>
        <w:t>Hsueh</w:t>
      </w:r>
      <w:proofErr w:type="spellEnd"/>
      <w:r w:rsidRPr="00E123B5">
        <w:rPr>
          <w:rFonts w:ascii="Times New Roman" w:hAnsi="Times New Roman" w:cs="Times New Roman"/>
          <w:color w:val="000000"/>
          <w:sz w:val="24"/>
          <w:szCs w:val="24"/>
        </w:rPr>
        <w:t xml:space="preserve"> </w:t>
      </w:r>
      <w:proofErr w:type="spellStart"/>
      <w:r w:rsidRPr="00E123B5">
        <w:rPr>
          <w:rFonts w:ascii="Times New Roman" w:hAnsi="Times New Roman" w:cs="Times New Roman"/>
          <w:color w:val="000000"/>
          <w:sz w:val="24"/>
          <w:szCs w:val="24"/>
        </w:rPr>
        <w:t>Tsa</w:t>
      </w:r>
      <w:proofErr w:type="spellEnd"/>
      <w:r w:rsidRPr="00E123B5">
        <w:rPr>
          <w:rFonts w:ascii="Times New Roman" w:hAnsi="Times New Roman" w:cs="Times New Roman"/>
          <w:color w:val="000000"/>
          <w:sz w:val="24"/>
          <w:szCs w:val="24"/>
        </w:rPr>
        <w:t xml:space="preserve"> </w:t>
      </w:r>
      <w:proofErr w:type="spellStart"/>
      <w:r w:rsidRPr="00E123B5">
        <w:rPr>
          <w:rFonts w:ascii="Times New Roman" w:hAnsi="Times New Roman" w:cs="Times New Roman"/>
          <w:color w:val="000000"/>
          <w:sz w:val="24"/>
          <w:szCs w:val="24"/>
        </w:rPr>
        <w:t>Chih</w:t>
      </w:r>
      <w:proofErr w:type="spellEnd"/>
      <w:r w:rsidRPr="00E123B5">
        <w:rPr>
          <w:rFonts w:ascii="Times New Roman" w:hAnsi="Times New Roman" w:cs="Times New Roman"/>
          <w:color w:val="000000"/>
          <w:sz w:val="24"/>
          <w:szCs w:val="24"/>
        </w:rPr>
        <w:t>; 9(3):131–42.</w:t>
      </w:r>
    </w:p>
    <w:p w:rsidR="000A3F37" w:rsidRPr="00E123B5" w:rsidRDefault="000A3F37" w:rsidP="000A3F37">
      <w:pPr>
        <w:tabs>
          <w:tab w:val="left" w:pos="567"/>
        </w:tabs>
        <w:bidi w:val="0"/>
        <w:spacing w:before="240"/>
        <w:ind w:left="567" w:hanging="567"/>
        <w:jc w:val="both"/>
      </w:pPr>
      <w:hyperlink r:id="rId22" w:history="1">
        <w:proofErr w:type="spellStart"/>
        <w:r w:rsidRPr="000A3F37">
          <w:rPr>
            <w:rStyle w:val="Hyperlink"/>
            <w:b/>
            <w:bCs/>
            <w:color w:val="auto"/>
          </w:rPr>
          <w:t>Kotsopoulos</w:t>
        </w:r>
        <w:proofErr w:type="spellEnd"/>
        <w:r w:rsidRPr="000A3F37">
          <w:rPr>
            <w:rStyle w:val="Hyperlink"/>
            <w:b/>
            <w:bCs/>
            <w:color w:val="auto"/>
          </w:rPr>
          <w:t xml:space="preserve"> I</w:t>
        </w:r>
      </w:hyperlink>
      <w:r w:rsidRPr="000A3F37">
        <w:rPr>
          <w:b/>
          <w:bCs/>
        </w:rPr>
        <w:t xml:space="preserve">, </w:t>
      </w:r>
      <w:hyperlink r:id="rId23" w:history="1">
        <w:r w:rsidRPr="000A3F37">
          <w:rPr>
            <w:rStyle w:val="Hyperlink"/>
            <w:b/>
            <w:bCs/>
            <w:color w:val="auto"/>
          </w:rPr>
          <w:t xml:space="preserve">van </w:t>
        </w:r>
        <w:proofErr w:type="spellStart"/>
        <w:r w:rsidRPr="000A3F37">
          <w:rPr>
            <w:rStyle w:val="Hyperlink"/>
            <w:b/>
            <w:bCs/>
            <w:color w:val="auto"/>
          </w:rPr>
          <w:t>Merode</w:t>
        </w:r>
        <w:proofErr w:type="spellEnd"/>
        <w:r w:rsidRPr="000A3F37">
          <w:rPr>
            <w:rStyle w:val="Hyperlink"/>
            <w:b/>
            <w:bCs/>
            <w:color w:val="auto"/>
          </w:rPr>
          <w:t xml:space="preserve"> T</w:t>
        </w:r>
      </w:hyperlink>
      <w:r w:rsidRPr="000A3F37">
        <w:rPr>
          <w:b/>
          <w:bCs/>
        </w:rPr>
        <w:t xml:space="preserve">, </w:t>
      </w:r>
      <w:hyperlink r:id="rId24" w:history="1">
        <w:proofErr w:type="spellStart"/>
        <w:r w:rsidRPr="000A3F37">
          <w:rPr>
            <w:rStyle w:val="Hyperlink"/>
            <w:b/>
            <w:bCs/>
            <w:color w:val="auto"/>
          </w:rPr>
          <w:t>Kessels</w:t>
        </w:r>
        <w:proofErr w:type="spellEnd"/>
        <w:r w:rsidRPr="000A3F37">
          <w:rPr>
            <w:rStyle w:val="Hyperlink"/>
            <w:b/>
            <w:bCs/>
            <w:color w:val="auto"/>
          </w:rPr>
          <w:t xml:space="preserve"> F</w:t>
        </w:r>
      </w:hyperlink>
      <w:r w:rsidRPr="000A3F37">
        <w:rPr>
          <w:b/>
          <w:bCs/>
        </w:rPr>
        <w:t xml:space="preserve">, </w:t>
      </w:r>
      <w:hyperlink r:id="rId25" w:history="1">
        <w:r w:rsidRPr="000A3F37">
          <w:rPr>
            <w:rStyle w:val="Hyperlink"/>
            <w:b/>
            <w:bCs/>
            <w:color w:val="auto"/>
          </w:rPr>
          <w:t xml:space="preserve">de </w:t>
        </w:r>
        <w:proofErr w:type="spellStart"/>
        <w:r w:rsidRPr="000A3F37">
          <w:rPr>
            <w:rStyle w:val="Hyperlink"/>
            <w:b/>
            <w:bCs/>
            <w:color w:val="auto"/>
          </w:rPr>
          <w:t>Krom</w:t>
        </w:r>
        <w:proofErr w:type="spellEnd"/>
        <w:r w:rsidRPr="000A3F37">
          <w:rPr>
            <w:rStyle w:val="Hyperlink"/>
            <w:b/>
            <w:bCs/>
            <w:color w:val="auto"/>
          </w:rPr>
          <w:t xml:space="preserve"> M</w:t>
        </w:r>
      </w:hyperlink>
      <w:r w:rsidRPr="000A3F37">
        <w:rPr>
          <w:b/>
          <w:bCs/>
        </w:rPr>
        <w:t xml:space="preserve">, and </w:t>
      </w:r>
      <w:hyperlink r:id="rId26" w:history="1">
        <w:proofErr w:type="spellStart"/>
        <w:r w:rsidRPr="000A3F37">
          <w:rPr>
            <w:rStyle w:val="Hyperlink"/>
            <w:b/>
            <w:bCs/>
            <w:color w:val="auto"/>
          </w:rPr>
          <w:t>Knottnerus</w:t>
        </w:r>
        <w:proofErr w:type="spellEnd"/>
        <w:r w:rsidRPr="000A3F37">
          <w:rPr>
            <w:rStyle w:val="Hyperlink"/>
            <w:b/>
            <w:bCs/>
            <w:color w:val="auto"/>
          </w:rPr>
          <w:t xml:space="preserve"> J.</w:t>
        </w:r>
      </w:hyperlink>
      <w:r w:rsidRPr="000A3F37">
        <w:rPr>
          <w:b/>
          <w:bCs/>
        </w:rPr>
        <w:t xml:space="preserve"> (2002):</w:t>
      </w:r>
      <w:r w:rsidRPr="000A3F37">
        <w:t xml:space="preserve"> Systematic</w:t>
      </w:r>
      <w:r w:rsidRPr="00E123B5">
        <w:t xml:space="preserve"> review and meta-analysis of incidence studies of epilepsy and unprovoked seizures. Epilepsia; 43(11):1402-9.</w:t>
      </w:r>
    </w:p>
    <w:p w:rsidR="000A3F37" w:rsidRPr="00E123B5" w:rsidRDefault="000A3F37" w:rsidP="000A3F37">
      <w:pPr>
        <w:tabs>
          <w:tab w:val="left" w:pos="567"/>
        </w:tabs>
        <w:bidi w:val="0"/>
        <w:spacing w:before="240"/>
        <w:ind w:left="567" w:hanging="567"/>
        <w:jc w:val="both"/>
        <w:rPr>
          <w:spacing w:val="-4"/>
        </w:rPr>
      </w:pPr>
      <w:proofErr w:type="spellStart"/>
      <w:r w:rsidRPr="00E123B5">
        <w:rPr>
          <w:b/>
          <w:bCs/>
          <w:spacing w:val="-4"/>
        </w:rPr>
        <w:t>Luders</w:t>
      </w:r>
      <w:proofErr w:type="spellEnd"/>
      <w:r w:rsidRPr="00E123B5">
        <w:rPr>
          <w:b/>
          <w:bCs/>
          <w:spacing w:val="-4"/>
        </w:rPr>
        <w:t xml:space="preserve"> H, </w:t>
      </w:r>
      <w:proofErr w:type="spellStart"/>
      <w:r w:rsidRPr="00E123B5">
        <w:rPr>
          <w:b/>
          <w:bCs/>
          <w:spacing w:val="-4"/>
        </w:rPr>
        <w:t>Najm</w:t>
      </w:r>
      <w:proofErr w:type="spellEnd"/>
      <w:r w:rsidRPr="00E123B5">
        <w:rPr>
          <w:b/>
          <w:bCs/>
          <w:spacing w:val="-4"/>
        </w:rPr>
        <w:t xml:space="preserve"> I, Wyllie E. (2003):</w:t>
      </w:r>
      <w:r w:rsidRPr="00E123B5">
        <w:rPr>
          <w:spacing w:val="-4"/>
        </w:rPr>
        <w:t xml:space="preserve"> Reply to “Of cabbages and kings: some considerations on classifications, diagnostic schemes, semiology, and concepts.” Epilepsia; (44):6–8.</w:t>
      </w:r>
    </w:p>
    <w:p w:rsidR="000A3F37" w:rsidRPr="00E123B5" w:rsidRDefault="000A3F37" w:rsidP="000A3F37">
      <w:pPr>
        <w:pStyle w:val="ListParagraph"/>
        <w:tabs>
          <w:tab w:val="left" w:pos="567"/>
        </w:tabs>
        <w:autoSpaceDE w:val="0"/>
        <w:autoSpaceDN w:val="0"/>
        <w:adjustRightInd w:val="0"/>
        <w:spacing w:before="240" w:after="0" w:line="240" w:lineRule="auto"/>
        <w:ind w:left="567" w:hanging="567"/>
        <w:contextualSpacing/>
        <w:jc w:val="both"/>
        <w:rPr>
          <w:rFonts w:ascii="Times New Roman" w:hAnsi="Times New Roman" w:cs="Times New Roman"/>
          <w:color w:val="000000"/>
          <w:sz w:val="24"/>
          <w:szCs w:val="24"/>
        </w:rPr>
      </w:pPr>
      <w:proofErr w:type="spellStart"/>
      <w:r w:rsidRPr="00E123B5">
        <w:rPr>
          <w:rFonts w:ascii="Times New Roman" w:hAnsi="Times New Roman" w:cs="Times New Roman"/>
          <w:b/>
          <w:bCs/>
          <w:color w:val="000000"/>
          <w:sz w:val="24"/>
          <w:szCs w:val="24"/>
        </w:rPr>
        <w:t>Lunardi</w:t>
      </w:r>
      <w:proofErr w:type="spellEnd"/>
      <w:r w:rsidRPr="00E123B5">
        <w:rPr>
          <w:rFonts w:ascii="Times New Roman" w:hAnsi="Times New Roman" w:cs="Times New Roman"/>
          <w:b/>
          <w:bCs/>
          <w:color w:val="000000"/>
          <w:sz w:val="24"/>
          <w:szCs w:val="24"/>
        </w:rPr>
        <w:t xml:space="preserve"> G, </w:t>
      </w:r>
      <w:proofErr w:type="spellStart"/>
      <w:r w:rsidRPr="00E123B5">
        <w:rPr>
          <w:rFonts w:ascii="Times New Roman" w:hAnsi="Times New Roman" w:cs="Times New Roman"/>
          <w:b/>
          <w:bCs/>
          <w:color w:val="000000"/>
          <w:sz w:val="24"/>
          <w:szCs w:val="24"/>
        </w:rPr>
        <w:t>Mainardi</w:t>
      </w:r>
      <w:proofErr w:type="spellEnd"/>
      <w:r w:rsidRPr="00E123B5">
        <w:rPr>
          <w:rFonts w:ascii="Times New Roman" w:hAnsi="Times New Roman" w:cs="Times New Roman"/>
          <w:b/>
          <w:bCs/>
          <w:color w:val="000000"/>
          <w:sz w:val="24"/>
          <w:szCs w:val="24"/>
        </w:rPr>
        <w:t xml:space="preserve"> P, </w:t>
      </w:r>
      <w:proofErr w:type="spellStart"/>
      <w:r w:rsidRPr="00E123B5">
        <w:rPr>
          <w:rFonts w:ascii="Times New Roman" w:hAnsi="Times New Roman" w:cs="Times New Roman"/>
          <w:b/>
          <w:bCs/>
          <w:color w:val="000000"/>
          <w:sz w:val="24"/>
          <w:szCs w:val="24"/>
        </w:rPr>
        <w:t>Rubino</w:t>
      </w:r>
      <w:proofErr w:type="spellEnd"/>
      <w:r w:rsidRPr="00E123B5">
        <w:rPr>
          <w:rFonts w:ascii="Times New Roman" w:hAnsi="Times New Roman" w:cs="Times New Roman"/>
          <w:b/>
          <w:bCs/>
          <w:color w:val="000000"/>
          <w:sz w:val="24"/>
          <w:szCs w:val="24"/>
        </w:rPr>
        <w:t xml:space="preserve"> V, (1995):</w:t>
      </w:r>
      <w:r w:rsidRPr="00E123B5">
        <w:rPr>
          <w:rFonts w:ascii="Times New Roman" w:hAnsi="Times New Roman" w:cs="Times New Roman"/>
          <w:color w:val="000000"/>
          <w:sz w:val="24"/>
          <w:szCs w:val="24"/>
        </w:rPr>
        <w:t xml:space="preserve"> Tryptophan and epilepsy. In: </w:t>
      </w:r>
      <w:proofErr w:type="spellStart"/>
      <w:r w:rsidRPr="00E123B5">
        <w:rPr>
          <w:rFonts w:ascii="Times New Roman" w:hAnsi="Times New Roman" w:cs="Times New Roman"/>
          <w:color w:val="000000"/>
          <w:sz w:val="24"/>
          <w:szCs w:val="24"/>
        </w:rPr>
        <w:t>Allegri</w:t>
      </w:r>
      <w:proofErr w:type="spellEnd"/>
      <w:r w:rsidRPr="00E123B5">
        <w:rPr>
          <w:rFonts w:ascii="Times New Roman" w:hAnsi="Times New Roman" w:cs="Times New Roman"/>
          <w:color w:val="000000"/>
          <w:sz w:val="24"/>
          <w:szCs w:val="24"/>
        </w:rPr>
        <w:t xml:space="preserve"> </w:t>
      </w:r>
      <w:proofErr w:type="spellStart"/>
      <w:r w:rsidRPr="00E123B5">
        <w:rPr>
          <w:rFonts w:ascii="Times New Roman" w:hAnsi="Times New Roman" w:cs="Times New Roman"/>
          <w:color w:val="000000"/>
          <w:sz w:val="24"/>
          <w:szCs w:val="24"/>
        </w:rPr>
        <w:t>Filippini</w:t>
      </w:r>
      <w:proofErr w:type="spellEnd"/>
      <w:r w:rsidRPr="00E123B5">
        <w:rPr>
          <w:rFonts w:ascii="Times New Roman" w:hAnsi="Times New Roman" w:cs="Times New Roman"/>
          <w:color w:val="000000"/>
          <w:sz w:val="24"/>
          <w:szCs w:val="24"/>
        </w:rPr>
        <w:t xml:space="preserve"> G, Costa VL, editors. Recent advances in tryptophan research. New York and London: Plenum Press; p. 101–2.</w:t>
      </w:r>
    </w:p>
    <w:p w:rsidR="000A3F37" w:rsidRPr="00E123B5" w:rsidRDefault="000A3F37" w:rsidP="000A3F37">
      <w:pPr>
        <w:tabs>
          <w:tab w:val="left" w:pos="567"/>
        </w:tabs>
        <w:bidi w:val="0"/>
        <w:spacing w:before="240"/>
        <w:ind w:left="567" w:hanging="567"/>
        <w:jc w:val="both"/>
        <w:rPr>
          <w:color w:val="000000"/>
        </w:rPr>
      </w:pPr>
      <w:hyperlink r:id="rId27" w:history="1">
        <w:proofErr w:type="spellStart"/>
        <w:r w:rsidRPr="00E123B5">
          <w:rPr>
            <w:b/>
            <w:bCs/>
            <w:color w:val="000000"/>
            <w:lang w:val="fr-FR"/>
          </w:rPr>
          <w:t>Mason</w:t>
        </w:r>
        <w:proofErr w:type="spellEnd"/>
        <w:r w:rsidRPr="00E123B5">
          <w:rPr>
            <w:b/>
            <w:bCs/>
            <w:color w:val="000000"/>
            <w:lang w:val="fr-FR"/>
          </w:rPr>
          <w:t xml:space="preserve"> PJ, Morris VA, </w:t>
        </w:r>
        <w:proofErr w:type="spellStart"/>
        <w:r w:rsidRPr="00E123B5">
          <w:rPr>
            <w:b/>
            <w:bCs/>
            <w:color w:val="000000"/>
            <w:lang w:val="fr-FR"/>
          </w:rPr>
          <w:t>Balcezak</w:t>
        </w:r>
        <w:proofErr w:type="spellEnd"/>
        <w:r w:rsidRPr="00E123B5">
          <w:rPr>
            <w:b/>
            <w:bCs/>
            <w:color w:val="000000"/>
            <w:lang w:val="fr-FR"/>
          </w:rPr>
          <w:t xml:space="preserve"> TJ. </w:t>
        </w:r>
        <w:r w:rsidRPr="00E123B5">
          <w:rPr>
            <w:b/>
            <w:bCs/>
            <w:color w:val="000000"/>
          </w:rPr>
          <w:t>(</w:t>
        </w:r>
        <w:r w:rsidRPr="00E123B5">
          <w:rPr>
            <w:b/>
            <w:bCs/>
          </w:rPr>
          <w:t>2000</w:t>
        </w:r>
        <w:r w:rsidRPr="00E123B5">
          <w:rPr>
            <w:b/>
            <w:bCs/>
            <w:color w:val="000000"/>
          </w:rPr>
          <w:t>):</w:t>
        </w:r>
        <w:r w:rsidRPr="00E123B5">
          <w:rPr>
            <w:color w:val="000000"/>
          </w:rPr>
          <w:t xml:space="preserve"> Serotonin syndrome. </w:t>
        </w:r>
        <w:proofErr w:type="gramStart"/>
        <w:r w:rsidRPr="00E123B5">
          <w:rPr>
            <w:color w:val="000000"/>
          </w:rPr>
          <w:t>Presentation of 2 cases and review of the literature.</w:t>
        </w:r>
        <w:proofErr w:type="gramEnd"/>
        <w:r w:rsidRPr="00E123B5">
          <w:rPr>
            <w:color w:val="000000"/>
          </w:rPr>
          <w:t xml:space="preserve"> Medicine (Baltimore); 79:201.</w:t>
        </w:r>
      </w:hyperlink>
    </w:p>
    <w:p w:rsidR="000A3F37" w:rsidRPr="00E123B5" w:rsidRDefault="000A3F37" w:rsidP="000A3F37">
      <w:pPr>
        <w:tabs>
          <w:tab w:val="left" w:pos="567"/>
        </w:tabs>
        <w:bidi w:val="0"/>
        <w:spacing w:before="240"/>
        <w:ind w:left="567" w:hanging="567"/>
        <w:jc w:val="both"/>
      </w:pPr>
      <w:proofErr w:type="spellStart"/>
      <w:r w:rsidRPr="00E123B5">
        <w:rPr>
          <w:b/>
          <w:bCs/>
        </w:rPr>
        <w:t>Ottman</w:t>
      </w:r>
      <w:proofErr w:type="spellEnd"/>
      <w:r w:rsidRPr="00E123B5">
        <w:rPr>
          <w:b/>
          <w:bCs/>
        </w:rPr>
        <w:t xml:space="preserve"> R. (2001):</w:t>
      </w:r>
      <w:r w:rsidRPr="00E123B5">
        <w:t xml:space="preserve"> Progress in the genetics of the partial epilepsies. Epilepsia; 42(5):24-30.</w:t>
      </w:r>
    </w:p>
    <w:p w:rsidR="000A3F37" w:rsidRPr="00E123B5" w:rsidRDefault="000A3F37" w:rsidP="000A3F37">
      <w:pPr>
        <w:pStyle w:val="ListParagraph"/>
        <w:tabs>
          <w:tab w:val="left" w:pos="567"/>
        </w:tabs>
        <w:spacing w:before="240" w:after="0" w:line="240" w:lineRule="auto"/>
        <w:ind w:left="567" w:hanging="567"/>
        <w:contextualSpacing/>
        <w:jc w:val="both"/>
        <w:rPr>
          <w:rFonts w:ascii="Times New Roman" w:hAnsi="Times New Roman" w:cs="Times New Roman"/>
          <w:sz w:val="24"/>
          <w:szCs w:val="24"/>
        </w:rPr>
      </w:pPr>
      <w:r w:rsidRPr="00E123B5">
        <w:rPr>
          <w:rFonts w:ascii="Times New Roman" w:hAnsi="Times New Roman" w:cs="Times New Roman"/>
          <w:b/>
          <w:bCs/>
          <w:sz w:val="24"/>
          <w:szCs w:val="24"/>
        </w:rPr>
        <w:lastRenderedPageBreak/>
        <w:t xml:space="preserve">P. </w:t>
      </w:r>
      <w:proofErr w:type="spellStart"/>
      <w:r w:rsidRPr="00E123B5">
        <w:rPr>
          <w:rFonts w:ascii="Times New Roman" w:hAnsi="Times New Roman" w:cs="Times New Roman"/>
          <w:b/>
          <w:bCs/>
          <w:sz w:val="24"/>
          <w:szCs w:val="24"/>
        </w:rPr>
        <w:t>Mainardi</w:t>
      </w:r>
      <w:proofErr w:type="spellEnd"/>
      <w:r w:rsidRPr="00E123B5">
        <w:rPr>
          <w:rFonts w:ascii="Times New Roman" w:hAnsi="Times New Roman" w:cs="Times New Roman"/>
          <w:b/>
          <w:bCs/>
          <w:sz w:val="24"/>
          <w:szCs w:val="24"/>
        </w:rPr>
        <w:t xml:space="preserve">, A. </w:t>
      </w:r>
      <w:proofErr w:type="spellStart"/>
      <w:r w:rsidRPr="00E123B5">
        <w:rPr>
          <w:rFonts w:ascii="Times New Roman" w:hAnsi="Times New Roman" w:cs="Times New Roman"/>
          <w:b/>
          <w:bCs/>
          <w:sz w:val="24"/>
          <w:szCs w:val="24"/>
        </w:rPr>
        <w:t>Leonardi</w:t>
      </w:r>
      <w:proofErr w:type="spellEnd"/>
      <w:r w:rsidRPr="00E123B5">
        <w:rPr>
          <w:rFonts w:ascii="Times New Roman" w:hAnsi="Times New Roman" w:cs="Times New Roman"/>
          <w:b/>
          <w:bCs/>
          <w:sz w:val="24"/>
          <w:szCs w:val="24"/>
        </w:rPr>
        <w:t xml:space="preserve">, C. </w:t>
      </w:r>
      <w:r w:rsidR="008B4125" w:rsidRPr="00E123B5">
        <w:rPr>
          <w:rFonts w:ascii="Times New Roman" w:hAnsi="Times New Roman" w:cs="Times New Roman"/>
          <w:b/>
          <w:bCs/>
          <w:sz w:val="24"/>
          <w:szCs w:val="24"/>
        </w:rPr>
        <w:t>Albano (</w:t>
      </w:r>
      <w:r w:rsidRPr="00E123B5">
        <w:rPr>
          <w:rFonts w:ascii="Times New Roman" w:hAnsi="Times New Roman" w:cs="Times New Roman"/>
          <w:b/>
          <w:bCs/>
          <w:sz w:val="24"/>
          <w:szCs w:val="24"/>
        </w:rPr>
        <w:t>1997):</w:t>
      </w:r>
      <w:r w:rsidRPr="00E123B5">
        <w:rPr>
          <w:rFonts w:ascii="Times New Roman" w:hAnsi="Times New Roman" w:cs="Times New Roman"/>
          <w:sz w:val="24"/>
          <w:szCs w:val="24"/>
        </w:rPr>
        <w:t xml:space="preserve"> Potentiation of brain serotonin activity may inhibit seizures, especially in drug-resistant epilepsy; Medical Hypotheses; 70, 876–879</w:t>
      </w:r>
    </w:p>
    <w:p w:rsidR="000A3F37" w:rsidRPr="00E123B5" w:rsidRDefault="000A3F37" w:rsidP="000A3F37">
      <w:pPr>
        <w:pStyle w:val="ListParagraph"/>
        <w:tabs>
          <w:tab w:val="left" w:pos="567"/>
        </w:tabs>
        <w:autoSpaceDE w:val="0"/>
        <w:autoSpaceDN w:val="0"/>
        <w:adjustRightInd w:val="0"/>
        <w:spacing w:before="240" w:after="0" w:line="240" w:lineRule="auto"/>
        <w:ind w:left="567" w:hanging="567"/>
        <w:contextualSpacing/>
        <w:jc w:val="both"/>
        <w:rPr>
          <w:rFonts w:ascii="Times New Roman" w:hAnsi="Times New Roman" w:cs="Times New Roman"/>
          <w:color w:val="000000"/>
          <w:sz w:val="24"/>
          <w:szCs w:val="24"/>
        </w:rPr>
      </w:pPr>
      <w:proofErr w:type="spellStart"/>
      <w:r w:rsidRPr="00E123B5">
        <w:rPr>
          <w:rFonts w:ascii="Times New Roman" w:hAnsi="Times New Roman" w:cs="Times New Roman"/>
          <w:b/>
          <w:bCs/>
          <w:color w:val="000000"/>
          <w:sz w:val="24"/>
          <w:szCs w:val="24"/>
        </w:rPr>
        <w:t>Pranzatelli</w:t>
      </w:r>
      <w:proofErr w:type="spellEnd"/>
      <w:r w:rsidRPr="00E123B5">
        <w:rPr>
          <w:rFonts w:ascii="Times New Roman" w:hAnsi="Times New Roman" w:cs="Times New Roman"/>
          <w:b/>
          <w:bCs/>
          <w:color w:val="000000"/>
          <w:sz w:val="24"/>
          <w:szCs w:val="24"/>
        </w:rPr>
        <w:t xml:space="preserve"> M. R., Tate E., Huang Y., Haas R. H., </w:t>
      </w:r>
      <w:proofErr w:type="spellStart"/>
      <w:r w:rsidRPr="00E123B5">
        <w:rPr>
          <w:rFonts w:ascii="Times New Roman" w:hAnsi="Times New Roman" w:cs="Times New Roman"/>
          <w:b/>
          <w:bCs/>
          <w:color w:val="000000"/>
          <w:sz w:val="24"/>
          <w:szCs w:val="24"/>
        </w:rPr>
        <w:t>Bodensteiner</w:t>
      </w:r>
      <w:proofErr w:type="spellEnd"/>
      <w:r w:rsidRPr="00E123B5">
        <w:rPr>
          <w:rFonts w:ascii="Times New Roman" w:hAnsi="Times New Roman" w:cs="Times New Roman"/>
          <w:b/>
          <w:bCs/>
          <w:color w:val="000000"/>
          <w:sz w:val="24"/>
          <w:szCs w:val="24"/>
        </w:rPr>
        <w:t xml:space="preserve"> J., </w:t>
      </w:r>
      <w:proofErr w:type="spellStart"/>
      <w:r w:rsidRPr="00E123B5">
        <w:rPr>
          <w:rFonts w:ascii="Times New Roman" w:hAnsi="Times New Roman" w:cs="Times New Roman"/>
          <w:b/>
          <w:bCs/>
          <w:color w:val="000000"/>
          <w:sz w:val="24"/>
          <w:szCs w:val="24"/>
        </w:rPr>
        <w:t>Ashwal</w:t>
      </w:r>
      <w:proofErr w:type="spellEnd"/>
      <w:r w:rsidRPr="00E123B5">
        <w:rPr>
          <w:rFonts w:ascii="Times New Roman" w:hAnsi="Times New Roman" w:cs="Times New Roman"/>
          <w:b/>
          <w:bCs/>
          <w:color w:val="000000"/>
          <w:sz w:val="24"/>
          <w:szCs w:val="24"/>
        </w:rPr>
        <w:t xml:space="preserve"> S. and Franz D. (1995):</w:t>
      </w:r>
      <w:r w:rsidRPr="00E123B5">
        <w:rPr>
          <w:rFonts w:ascii="Times New Roman" w:hAnsi="Times New Roman" w:cs="Times New Roman"/>
          <w:color w:val="000000"/>
          <w:sz w:val="24"/>
          <w:szCs w:val="24"/>
        </w:rPr>
        <w:t xml:space="preserve"> Neuropharmacology of progressive myoclonus epilepsy: response to 5-hydroxy-L-tryptophan. Epilepsia 36, 783–791.</w:t>
      </w:r>
    </w:p>
    <w:p w:rsidR="000A3F37" w:rsidRPr="00E123B5" w:rsidRDefault="000A3F37" w:rsidP="000A3F37">
      <w:pPr>
        <w:tabs>
          <w:tab w:val="left" w:pos="567"/>
        </w:tabs>
        <w:bidi w:val="0"/>
        <w:spacing w:before="240"/>
        <w:ind w:left="567" w:hanging="567"/>
        <w:jc w:val="both"/>
      </w:pPr>
      <w:r w:rsidRPr="00E123B5">
        <w:rPr>
          <w:spacing w:val="-2"/>
          <w:lang w:val="de-DE"/>
        </w:rPr>
        <w:t xml:space="preserve"> </w:t>
      </w:r>
      <w:r w:rsidRPr="00E123B5">
        <w:rPr>
          <w:b/>
          <w:bCs/>
        </w:rPr>
        <w:t xml:space="preserve">Sargent PA, </w:t>
      </w:r>
      <w:proofErr w:type="spellStart"/>
      <w:r w:rsidRPr="00E123B5">
        <w:rPr>
          <w:b/>
          <w:bCs/>
        </w:rPr>
        <w:t>Kjaer</w:t>
      </w:r>
      <w:proofErr w:type="spellEnd"/>
      <w:r w:rsidRPr="00E123B5">
        <w:rPr>
          <w:b/>
          <w:bCs/>
        </w:rPr>
        <w:t xml:space="preserve"> KH, Bench CJ, (2000):</w:t>
      </w:r>
      <w:r w:rsidRPr="00E123B5">
        <w:t xml:space="preserve"> Brain serotonin1A receptor binding measured by positron emission tomography with [11C] WAY-100635: effects of depression and antidepressant treatment. Arch Gen Psychiatry; 57:174–80.</w:t>
      </w:r>
    </w:p>
    <w:p w:rsidR="000A3F37" w:rsidRPr="00E123B5" w:rsidRDefault="000A3F37" w:rsidP="000A3F37">
      <w:pPr>
        <w:pStyle w:val="ListParagraph"/>
        <w:tabs>
          <w:tab w:val="left" w:pos="567"/>
        </w:tabs>
        <w:spacing w:before="240" w:after="0" w:line="240" w:lineRule="auto"/>
        <w:ind w:left="567" w:hanging="567"/>
        <w:contextualSpacing/>
        <w:jc w:val="both"/>
        <w:rPr>
          <w:rFonts w:ascii="Times New Roman" w:hAnsi="Times New Roman" w:cs="Times New Roman"/>
          <w:color w:val="000000"/>
          <w:sz w:val="24"/>
          <w:szCs w:val="24"/>
        </w:rPr>
      </w:pPr>
      <w:r w:rsidRPr="00E123B5">
        <w:rPr>
          <w:rFonts w:ascii="Times New Roman" w:hAnsi="Times New Roman" w:cs="Times New Roman"/>
          <w:b/>
          <w:bCs/>
          <w:sz w:val="24"/>
          <w:szCs w:val="24"/>
        </w:rPr>
        <w:t xml:space="preserve">Theodore WH, </w:t>
      </w:r>
      <w:proofErr w:type="spellStart"/>
      <w:r w:rsidRPr="00E123B5">
        <w:rPr>
          <w:rFonts w:ascii="Times New Roman" w:hAnsi="Times New Roman" w:cs="Times New Roman"/>
          <w:b/>
          <w:bCs/>
          <w:sz w:val="24"/>
          <w:szCs w:val="24"/>
        </w:rPr>
        <w:t>Giovacchini</w:t>
      </w:r>
      <w:proofErr w:type="spellEnd"/>
      <w:r w:rsidRPr="00E123B5">
        <w:rPr>
          <w:rFonts w:ascii="Times New Roman" w:hAnsi="Times New Roman" w:cs="Times New Roman"/>
          <w:b/>
          <w:bCs/>
          <w:sz w:val="24"/>
          <w:szCs w:val="24"/>
        </w:rPr>
        <w:t xml:space="preserve"> G, </w:t>
      </w:r>
      <w:proofErr w:type="spellStart"/>
      <w:r w:rsidRPr="00E123B5">
        <w:rPr>
          <w:rFonts w:ascii="Times New Roman" w:hAnsi="Times New Roman" w:cs="Times New Roman"/>
          <w:b/>
          <w:bCs/>
          <w:sz w:val="24"/>
          <w:szCs w:val="24"/>
        </w:rPr>
        <w:t>Bonwetsch</w:t>
      </w:r>
      <w:proofErr w:type="spellEnd"/>
      <w:r w:rsidRPr="00E123B5">
        <w:rPr>
          <w:rFonts w:ascii="Times New Roman" w:hAnsi="Times New Roman" w:cs="Times New Roman"/>
          <w:b/>
          <w:bCs/>
          <w:sz w:val="24"/>
          <w:szCs w:val="24"/>
        </w:rPr>
        <w:t xml:space="preserve"> R, (2006):</w:t>
      </w:r>
      <w:r w:rsidRPr="00E123B5">
        <w:rPr>
          <w:rFonts w:ascii="Times New Roman" w:hAnsi="Times New Roman" w:cs="Times New Roman"/>
          <w:sz w:val="24"/>
          <w:szCs w:val="24"/>
        </w:rPr>
        <w:t xml:space="preserve"> The effect of antiepileptic drugs on 5-HT-receptor binding measured by positron emission tomography. Epilepsia; 47:499–503. </w:t>
      </w:r>
    </w:p>
    <w:p w:rsidR="000A3F37" w:rsidRDefault="000A3F37" w:rsidP="000A3F37">
      <w:pPr>
        <w:tabs>
          <w:tab w:val="left" w:pos="567"/>
        </w:tabs>
        <w:bidi w:val="0"/>
        <w:spacing w:before="240"/>
        <w:ind w:left="567" w:hanging="567"/>
        <w:jc w:val="both"/>
        <w:rPr>
          <w:color w:val="000000"/>
        </w:rPr>
      </w:pPr>
      <w:r w:rsidRPr="00E123B5">
        <w:rPr>
          <w:b/>
          <w:bCs/>
          <w:color w:val="000000"/>
        </w:rPr>
        <w:t>Young SN (2007):</w:t>
      </w:r>
      <w:r w:rsidRPr="00E123B5">
        <w:rPr>
          <w:color w:val="000000"/>
        </w:rPr>
        <w:t xml:space="preserve"> </w:t>
      </w:r>
      <w:hyperlink r:id="rId28" w:history="1">
        <w:r w:rsidRPr="00E123B5">
          <w:rPr>
            <w:color w:val="000000"/>
          </w:rPr>
          <w:t>"How to increase serotonin in the human brain without drugs"</w:t>
        </w:r>
      </w:hyperlink>
      <w:r w:rsidRPr="00E123B5">
        <w:rPr>
          <w:color w:val="000000"/>
        </w:rPr>
        <w:t xml:space="preserve">. J Psychiatry </w:t>
      </w:r>
      <w:proofErr w:type="spellStart"/>
      <w:r w:rsidRPr="00E123B5">
        <w:rPr>
          <w:color w:val="000000"/>
        </w:rPr>
        <w:t>Neurosci</w:t>
      </w:r>
      <w:proofErr w:type="spellEnd"/>
      <w:r w:rsidRPr="00E123B5">
        <w:rPr>
          <w:color w:val="000000"/>
        </w:rPr>
        <w:t xml:space="preserve"> 32 (6): 394–9. </w:t>
      </w:r>
    </w:p>
    <w:p w:rsidR="001103AE" w:rsidRDefault="001103AE" w:rsidP="001103AE">
      <w:pPr>
        <w:tabs>
          <w:tab w:val="left" w:pos="567"/>
        </w:tabs>
        <w:bidi w:val="0"/>
        <w:spacing w:before="240"/>
        <w:ind w:left="567" w:hanging="567"/>
        <w:jc w:val="both"/>
        <w:rPr>
          <w:rFonts w:cs="Simplified Arabic"/>
          <w:lang w:bidi="ar-EG"/>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C06D2E" w:rsidRDefault="00C06D2E" w:rsidP="001103AE">
      <w:pPr>
        <w:tabs>
          <w:tab w:val="left" w:pos="284"/>
        </w:tabs>
        <w:jc w:val="center"/>
        <w:rPr>
          <w:rStyle w:val="hps"/>
          <w:rFonts w:cs="PT Bold Heading"/>
          <w:b/>
          <w:bCs/>
          <w:sz w:val="32"/>
          <w:szCs w:val="28"/>
        </w:rPr>
      </w:pPr>
    </w:p>
    <w:p w:rsidR="001103AE" w:rsidRPr="008B4125" w:rsidRDefault="001103AE" w:rsidP="001103AE">
      <w:pPr>
        <w:tabs>
          <w:tab w:val="left" w:pos="284"/>
        </w:tabs>
        <w:jc w:val="center"/>
        <w:rPr>
          <w:rStyle w:val="hps"/>
          <w:rFonts w:cs="PT Bold Heading"/>
          <w:b/>
          <w:bCs/>
          <w:sz w:val="28"/>
          <w:szCs w:val="26"/>
          <w:rtl/>
          <w:lang w:bidi="ar-EG"/>
        </w:rPr>
      </w:pPr>
      <w:r w:rsidRPr="008B4125">
        <w:rPr>
          <w:rStyle w:val="hps"/>
          <w:rFonts w:cs="PT Bold Heading" w:hint="cs"/>
          <w:b/>
          <w:bCs/>
          <w:sz w:val="32"/>
          <w:szCs w:val="28"/>
          <w:rtl/>
        </w:rPr>
        <w:lastRenderedPageBreak/>
        <w:t>تأثير</w:t>
      </w:r>
      <w:r w:rsidRPr="008B4125">
        <w:rPr>
          <w:rFonts w:cs="PT Bold Heading" w:hint="cs"/>
          <w:b/>
          <w:bCs/>
          <w:sz w:val="32"/>
          <w:szCs w:val="28"/>
          <w:rtl/>
        </w:rPr>
        <w:t xml:space="preserve"> </w:t>
      </w:r>
      <w:r w:rsidRPr="008B4125">
        <w:rPr>
          <w:rStyle w:val="hps"/>
          <w:rFonts w:cs="PT Bold Heading" w:hint="cs"/>
          <w:b/>
          <w:bCs/>
          <w:sz w:val="32"/>
          <w:szCs w:val="28"/>
          <w:rtl/>
        </w:rPr>
        <w:t>الأدوية</w:t>
      </w:r>
      <w:r w:rsidRPr="008B4125">
        <w:rPr>
          <w:rFonts w:cs="PT Bold Heading" w:hint="cs"/>
          <w:b/>
          <w:bCs/>
          <w:sz w:val="32"/>
          <w:szCs w:val="28"/>
          <w:rtl/>
        </w:rPr>
        <w:t xml:space="preserve"> </w:t>
      </w:r>
      <w:r w:rsidRPr="008B4125">
        <w:rPr>
          <w:rStyle w:val="hps"/>
          <w:rFonts w:cs="PT Bold Heading" w:hint="cs"/>
          <w:b/>
          <w:bCs/>
          <w:sz w:val="32"/>
          <w:szCs w:val="28"/>
          <w:rtl/>
        </w:rPr>
        <w:t>المضادة للصرع</w:t>
      </w:r>
      <w:r w:rsidRPr="008B4125">
        <w:rPr>
          <w:rFonts w:cs="PT Bold Heading" w:hint="cs"/>
          <w:b/>
          <w:bCs/>
          <w:sz w:val="32"/>
          <w:szCs w:val="28"/>
          <w:rtl/>
        </w:rPr>
        <w:t xml:space="preserve"> </w:t>
      </w:r>
      <w:r w:rsidRPr="008B4125">
        <w:rPr>
          <w:rStyle w:val="hps"/>
          <w:rFonts w:cs="PT Bold Heading" w:hint="cs"/>
          <w:b/>
          <w:bCs/>
          <w:sz w:val="32"/>
          <w:szCs w:val="28"/>
          <w:rtl/>
        </w:rPr>
        <w:t>على</w:t>
      </w:r>
      <w:r w:rsidRPr="008B4125">
        <w:rPr>
          <w:rFonts w:cs="PT Bold Heading" w:hint="cs"/>
          <w:b/>
          <w:bCs/>
          <w:sz w:val="32"/>
          <w:szCs w:val="28"/>
          <w:rtl/>
        </w:rPr>
        <w:t xml:space="preserve"> </w:t>
      </w:r>
      <w:r w:rsidRPr="008B4125">
        <w:rPr>
          <w:rStyle w:val="hps"/>
          <w:rFonts w:cs="PT Bold Heading" w:hint="cs"/>
          <w:b/>
          <w:bCs/>
          <w:sz w:val="32"/>
          <w:szCs w:val="28"/>
          <w:rtl/>
        </w:rPr>
        <w:t>مستوى السيروتونين</w:t>
      </w:r>
      <w:r w:rsidRPr="008B4125">
        <w:rPr>
          <w:rFonts w:cs="PT Bold Heading" w:hint="cs"/>
          <w:b/>
          <w:bCs/>
          <w:sz w:val="32"/>
          <w:szCs w:val="28"/>
          <w:rtl/>
        </w:rPr>
        <w:t xml:space="preserve"> </w:t>
      </w:r>
      <w:r w:rsidRPr="008B4125">
        <w:rPr>
          <w:rStyle w:val="hps"/>
          <w:rFonts w:cs="PT Bold Heading" w:hint="cs"/>
          <w:b/>
          <w:bCs/>
          <w:sz w:val="32"/>
          <w:szCs w:val="28"/>
          <w:rtl/>
        </w:rPr>
        <w:t>في الدم</w:t>
      </w:r>
      <w:r w:rsidRPr="008B4125">
        <w:rPr>
          <w:rFonts w:cs="PT Bold Heading" w:hint="cs"/>
          <w:b/>
          <w:bCs/>
          <w:sz w:val="32"/>
          <w:szCs w:val="28"/>
          <w:rtl/>
        </w:rPr>
        <w:t xml:space="preserve"> </w:t>
      </w:r>
      <w:r w:rsidRPr="008B4125">
        <w:rPr>
          <w:rStyle w:val="hps"/>
          <w:rFonts w:cs="PT Bold Heading" w:hint="cs"/>
          <w:b/>
          <w:bCs/>
          <w:sz w:val="32"/>
          <w:szCs w:val="28"/>
          <w:rtl/>
        </w:rPr>
        <w:t>بين</w:t>
      </w:r>
      <w:r w:rsidRPr="008B4125">
        <w:rPr>
          <w:rFonts w:cs="PT Bold Heading" w:hint="cs"/>
          <w:b/>
          <w:bCs/>
          <w:sz w:val="32"/>
          <w:szCs w:val="28"/>
          <w:rtl/>
        </w:rPr>
        <w:t xml:space="preserve"> </w:t>
      </w:r>
      <w:r w:rsidRPr="008B4125">
        <w:rPr>
          <w:rStyle w:val="hps"/>
          <w:rFonts w:cs="PT Bold Heading" w:hint="cs"/>
          <w:b/>
          <w:bCs/>
          <w:sz w:val="32"/>
          <w:szCs w:val="28"/>
          <w:rtl/>
        </w:rPr>
        <w:t>الأطفال الذين يعانون من</w:t>
      </w:r>
      <w:r w:rsidRPr="008B4125">
        <w:rPr>
          <w:rFonts w:cs="PT Bold Heading" w:hint="cs"/>
          <w:b/>
          <w:bCs/>
          <w:sz w:val="32"/>
          <w:szCs w:val="28"/>
          <w:rtl/>
        </w:rPr>
        <w:t xml:space="preserve"> </w:t>
      </w:r>
      <w:r w:rsidRPr="008B4125">
        <w:rPr>
          <w:rStyle w:val="hps"/>
          <w:rFonts w:cs="PT Bold Heading" w:hint="cs"/>
          <w:b/>
          <w:bCs/>
          <w:sz w:val="32"/>
          <w:szCs w:val="28"/>
          <w:rtl/>
        </w:rPr>
        <w:t>الصرع</w:t>
      </w:r>
      <w:r w:rsidRPr="008B4125">
        <w:rPr>
          <w:rFonts w:cs="PT Bold Heading" w:hint="cs"/>
          <w:b/>
          <w:bCs/>
          <w:sz w:val="32"/>
          <w:szCs w:val="28"/>
          <w:rtl/>
        </w:rPr>
        <w:t xml:space="preserve"> </w:t>
      </w:r>
      <w:r w:rsidRPr="008B4125">
        <w:rPr>
          <w:rStyle w:val="hps"/>
          <w:rFonts w:cs="PT Bold Heading" w:hint="cs"/>
          <w:b/>
          <w:bCs/>
          <w:sz w:val="32"/>
          <w:szCs w:val="28"/>
          <w:rtl/>
          <w:lang w:bidi="ar-EG"/>
        </w:rPr>
        <w:t>الاولي</w:t>
      </w:r>
    </w:p>
    <w:p w:rsidR="001103AE" w:rsidRPr="009606E0" w:rsidRDefault="009606E0" w:rsidP="009606E0">
      <w:pPr>
        <w:tabs>
          <w:tab w:val="left" w:pos="284"/>
        </w:tabs>
        <w:ind w:firstLine="720"/>
        <w:jc w:val="center"/>
        <w:rPr>
          <w:rFonts w:cs="Simplified Arabic" w:hint="cs"/>
          <w:b/>
          <w:bCs/>
          <w:sz w:val="26"/>
          <w:szCs w:val="26"/>
          <w:lang w:bidi="ar-EG"/>
        </w:rPr>
      </w:pPr>
      <w:r w:rsidRPr="009606E0">
        <w:rPr>
          <w:rFonts w:cs="Simplified Arabic" w:hint="cs"/>
          <w:b/>
          <w:bCs/>
          <w:sz w:val="26"/>
          <w:szCs w:val="26"/>
          <w:rtl/>
          <w:lang w:bidi="ar-EG"/>
        </w:rPr>
        <w:t xml:space="preserve">عمر الشوربجى </w:t>
      </w:r>
      <w:r w:rsidRPr="009606E0">
        <w:rPr>
          <w:rFonts w:cs="Simplified Arabic"/>
          <w:b/>
          <w:bCs/>
          <w:sz w:val="26"/>
          <w:szCs w:val="26"/>
          <w:rtl/>
          <w:lang w:bidi="ar-EG"/>
        </w:rPr>
        <w:t>–</w:t>
      </w:r>
      <w:r w:rsidRPr="009606E0">
        <w:rPr>
          <w:rFonts w:cs="Simplified Arabic" w:hint="cs"/>
          <w:b/>
          <w:bCs/>
          <w:sz w:val="26"/>
          <w:szCs w:val="26"/>
          <w:rtl/>
          <w:lang w:bidi="ar-EG"/>
        </w:rPr>
        <w:t xml:space="preserve"> هويدا الجبالى </w:t>
      </w:r>
      <w:r w:rsidRPr="009606E0">
        <w:rPr>
          <w:rFonts w:cs="Simplified Arabic"/>
          <w:b/>
          <w:bCs/>
          <w:sz w:val="26"/>
          <w:szCs w:val="26"/>
          <w:rtl/>
          <w:lang w:bidi="ar-EG"/>
        </w:rPr>
        <w:t>–</w:t>
      </w:r>
      <w:r w:rsidRPr="009606E0">
        <w:rPr>
          <w:rFonts w:cs="Simplified Arabic" w:hint="cs"/>
          <w:b/>
          <w:bCs/>
          <w:sz w:val="26"/>
          <w:szCs w:val="26"/>
          <w:rtl/>
          <w:lang w:bidi="ar-EG"/>
        </w:rPr>
        <w:t xml:space="preserve"> ياسر زيتون </w:t>
      </w:r>
      <w:r w:rsidRPr="009606E0">
        <w:rPr>
          <w:rFonts w:cs="Simplified Arabic"/>
          <w:b/>
          <w:bCs/>
          <w:sz w:val="26"/>
          <w:szCs w:val="26"/>
          <w:rtl/>
          <w:lang w:bidi="ar-EG"/>
        </w:rPr>
        <w:t>–</w:t>
      </w:r>
      <w:r w:rsidRPr="009606E0">
        <w:rPr>
          <w:rFonts w:cs="Simplified Arabic" w:hint="cs"/>
          <w:b/>
          <w:bCs/>
          <w:sz w:val="26"/>
          <w:szCs w:val="26"/>
          <w:rtl/>
          <w:lang w:bidi="ar-EG"/>
        </w:rPr>
        <w:t xml:space="preserve"> رشا على </w:t>
      </w:r>
      <w:r w:rsidRPr="009606E0">
        <w:rPr>
          <w:rFonts w:cs="Simplified Arabic"/>
          <w:b/>
          <w:bCs/>
          <w:sz w:val="26"/>
          <w:szCs w:val="26"/>
          <w:rtl/>
          <w:lang w:bidi="ar-EG"/>
        </w:rPr>
        <w:t>–</w:t>
      </w:r>
      <w:r w:rsidRPr="009606E0">
        <w:rPr>
          <w:rFonts w:cs="Simplified Arabic" w:hint="cs"/>
          <w:b/>
          <w:bCs/>
          <w:sz w:val="26"/>
          <w:szCs w:val="26"/>
          <w:rtl/>
          <w:lang w:bidi="ar-EG"/>
        </w:rPr>
        <w:t xml:space="preserve"> سامر حامد</w:t>
      </w:r>
    </w:p>
    <w:p w:rsidR="00A06E81" w:rsidRDefault="00A06E81" w:rsidP="001103AE">
      <w:pPr>
        <w:tabs>
          <w:tab w:val="left" w:pos="284"/>
        </w:tabs>
        <w:ind w:firstLine="720"/>
        <w:jc w:val="both"/>
        <w:rPr>
          <w:rFonts w:cs="Simplified Arabic" w:hint="cs"/>
          <w:sz w:val="26"/>
          <w:szCs w:val="26"/>
          <w:rtl/>
          <w:lang w:bidi="ar-EG"/>
        </w:rPr>
      </w:pPr>
    </w:p>
    <w:p w:rsidR="00A06E81" w:rsidRPr="00326955" w:rsidRDefault="00A06E81" w:rsidP="00A06E81">
      <w:pPr>
        <w:tabs>
          <w:tab w:val="left" w:pos="284"/>
        </w:tabs>
        <w:ind w:firstLine="26"/>
        <w:jc w:val="both"/>
        <w:rPr>
          <w:rFonts w:cs="Simplified Arabic" w:hint="cs"/>
          <w:b/>
          <w:bCs/>
          <w:sz w:val="26"/>
          <w:szCs w:val="26"/>
          <w:rtl/>
          <w:lang w:bidi="ar-EG"/>
        </w:rPr>
      </w:pPr>
      <w:r w:rsidRPr="00326955">
        <w:rPr>
          <w:rFonts w:cs="Simplified Arabic" w:hint="cs"/>
          <w:b/>
          <w:bCs/>
          <w:sz w:val="26"/>
          <w:szCs w:val="26"/>
          <w:rtl/>
          <w:lang w:bidi="ar-EG"/>
        </w:rPr>
        <w:t>خلفية الدراسة:</w:t>
      </w:r>
    </w:p>
    <w:p w:rsidR="009606E0" w:rsidRPr="00326955" w:rsidRDefault="009606E0" w:rsidP="001103AE">
      <w:pPr>
        <w:tabs>
          <w:tab w:val="left" w:pos="284"/>
        </w:tabs>
        <w:jc w:val="both"/>
        <w:rPr>
          <w:rFonts w:cs="Simplified Arabic" w:hint="cs"/>
          <w:sz w:val="26"/>
          <w:szCs w:val="26"/>
          <w:rtl/>
        </w:rPr>
      </w:pPr>
      <w:r w:rsidRPr="00326955">
        <w:rPr>
          <w:rFonts w:cs="Simplified Arabic" w:hint="cs"/>
          <w:sz w:val="26"/>
          <w:szCs w:val="26"/>
          <w:rtl/>
        </w:rPr>
        <w:t>الصرع من أهم ا</w:t>
      </w:r>
      <w:r w:rsidR="00326955" w:rsidRPr="00326955">
        <w:rPr>
          <w:rFonts w:cs="Simplified Arabic" w:hint="cs"/>
          <w:sz w:val="26"/>
          <w:szCs w:val="26"/>
          <w:rtl/>
        </w:rPr>
        <w:t>لأمراض العصبية التى تصيب الأطفال، ومعرفة محددات المرض وديناميكياته تساعد على الاكتشاف المبكر وتحسن طرق العلاج.</w:t>
      </w:r>
    </w:p>
    <w:p w:rsidR="001103AE" w:rsidRPr="0021497F" w:rsidRDefault="001103AE" w:rsidP="001103AE">
      <w:pPr>
        <w:tabs>
          <w:tab w:val="left" w:pos="284"/>
        </w:tabs>
        <w:jc w:val="both"/>
        <w:rPr>
          <w:rFonts w:cs="Simplified Arabic" w:hint="cs"/>
          <w:b/>
          <w:bCs/>
          <w:sz w:val="26"/>
          <w:szCs w:val="26"/>
          <w:rtl/>
          <w:lang w:bidi="ar-EG"/>
        </w:rPr>
      </w:pPr>
      <w:r w:rsidRPr="0021497F">
        <w:rPr>
          <w:rFonts w:cs="Simplified Arabic" w:hint="cs"/>
          <w:b/>
          <w:bCs/>
          <w:sz w:val="26"/>
          <w:szCs w:val="26"/>
          <w:rtl/>
        </w:rPr>
        <w:t>الهدف من الدراسة:</w:t>
      </w:r>
    </w:p>
    <w:p w:rsidR="001103AE" w:rsidRPr="00AD6F72" w:rsidRDefault="001103AE" w:rsidP="001103AE">
      <w:pPr>
        <w:tabs>
          <w:tab w:val="left" w:pos="284"/>
        </w:tabs>
        <w:jc w:val="both"/>
        <w:rPr>
          <w:rFonts w:cs="Simplified Arabic"/>
          <w:sz w:val="26"/>
          <w:szCs w:val="26"/>
          <w:rtl/>
          <w:lang w:bidi="ar-EG"/>
        </w:rPr>
      </w:pPr>
      <w:r>
        <w:rPr>
          <w:rFonts w:cs="Simplified Arabic" w:hint="cs"/>
          <w:sz w:val="26"/>
          <w:szCs w:val="26"/>
          <w:rtl/>
        </w:rPr>
        <w:t>ت</w:t>
      </w:r>
      <w:r w:rsidRPr="00857EB6">
        <w:rPr>
          <w:rFonts w:cs="Simplified Arabic"/>
          <w:sz w:val="26"/>
          <w:szCs w:val="26"/>
          <w:rtl/>
        </w:rPr>
        <w:t>هدف</w:t>
      </w:r>
      <w:r w:rsidRPr="00AD6F72">
        <w:rPr>
          <w:rFonts w:cs="Simplified Arabic"/>
          <w:sz w:val="26"/>
          <w:szCs w:val="26"/>
          <w:rtl/>
        </w:rPr>
        <w:t xml:space="preserve"> </w:t>
      </w:r>
      <w:r>
        <w:rPr>
          <w:rFonts w:cs="Simplified Arabic" w:hint="cs"/>
          <w:sz w:val="26"/>
          <w:szCs w:val="26"/>
          <w:rtl/>
        </w:rPr>
        <w:t>الدراسة الى</w:t>
      </w:r>
      <w:r w:rsidRPr="00AD6F72">
        <w:rPr>
          <w:rFonts w:cs="Simplified Arabic"/>
          <w:sz w:val="26"/>
          <w:szCs w:val="26"/>
          <w:rtl/>
        </w:rPr>
        <w:t xml:space="preserve"> تقييم </w:t>
      </w:r>
      <w:r>
        <w:rPr>
          <w:rFonts w:cs="Simplified Arabic" w:hint="cs"/>
          <w:sz w:val="26"/>
          <w:szCs w:val="26"/>
          <w:rtl/>
        </w:rPr>
        <w:t>مستوى</w:t>
      </w:r>
      <w:r w:rsidRPr="00AD6F72">
        <w:rPr>
          <w:rFonts w:cs="Simplified Arabic"/>
          <w:sz w:val="26"/>
          <w:szCs w:val="26"/>
          <w:rtl/>
        </w:rPr>
        <w:t xml:space="preserve"> السيروتونين في</w:t>
      </w:r>
      <w:r>
        <w:rPr>
          <w:rFonts w:cs="Simplified Arabic" w:hint="cs"/>
          <w:sz w:val="26"/>
          <w:szCs w:val="26"/>
          <w:rtl/>
        </w:rPr>
        <w:t xml:space="preserve"> مصل دم</w:t>
      </w:r>
      <w:r w:rsidRPr="00AD6F72">
        <w:rPr>
          <w:rFonts w:cs="Simplified Arabic"/>
          <w:sz w:val="26"/>
          <w:szCs w:val="26"/>
          <w:rtl/>
        </w:rPr>
        <w:t xml:space="preserve"> الحالات التى يتم تشخيصها حديثا من الصرع الاولي و</w:t>
      </w:r>
      <w:r>
        <w:rPr>
          <w:rFonts w:cs="Simplified Arabic" w:hint="cs"/>
          <w:sz w:val="26"/>
          <w:szCs w:val="26"/>
          <w:rtl/>
        </w:rPr>
        <w:t>علاقته</w:t>
      </w:r>
      <w:r w:rsidRPr="00AD6F72">
        <w:rPr>
          <w:rFonts w:cs="Simplified Arabic"/>
          <w:sz w:val="26"/>
          <w:szCs w:val="26"/>
          <w:rtl/>
        </w:rPr>
        <w:t xml:space="preserve"> </w:t>
      </w:r>
      <w:r>
        <w:rPr>
          <w:rFonts w:cs="Simplified Arabic" w:hint="cs"/>
          <w:sz w:val="26"/>
          <w:szCs w:val="26"/>
          <w:rtl/>
        </w:rPr>
        <w:t>ب</w:t>
      </w:r>
      <w:r w:rsidRPr="00AD6F72">
        <w:rPr>
          <w:rFonts w:cs="Simplified Arabic"/>
          <w:sz w:val="26"/>
          <w:szCs w:val="26"/>
          <w:rtl/>
        </w:rPr>
        <w:t>الاستجابة للعلاج</w:t>
      </w:r>
      <w:r>
        <w:rPr>
          <w:rFonts w:cs="Simplified Arabic" w:hint="cs"/>
          <w:sz w:val="26"/>
          <w:szCs w:val="26"/>
          <w:rtl/>
        </w:rPr>
        <w:t xml:space="preserve"> للأدوية مضادة الصرع</w:t>
      </w:r>
      <w:r w:rsidRPr="00AD6F72">
        <w:rPr>
          <w:rFonts w:cs="Simplified Arabic"/>
          <w:sz w:val="26"/>
          <w:szCs w:val="26"/>
          <w:rtl/>
        </w:rPr>
        <w:t>.</w:t>
      </w:r>
    </w:p>
    <w:p w:rsidR="001103AE" w:rsidRDefault="001103AE" w:rsidP="001103AE">
      <w:pPr>
        <w:tabs>
          <w:tab w:val="left" w:pos="284"/>
        </w:tabs>
        <w:ind w:firstLine="720"/>
        <w:jc w:val="both"/>
        <w:rPr>
          <w:rFonts w:cs="Simplified Arabic"/>
          <w:sz w:val="26"/>
          <w:szCs w:val="26"/>
        </w:rPr>
      </w:pPr>
    </w:p>
    <w:p w:rsidR="001103AE" w:rsidRDefault="001103AE" w:rsidP="001103AE">
      <w:pPr>
        <w:tabs>
          <w:tab w:val="left" w:pos="284"/>
        </w:tabs>
        <w:rPr>
          <w:rFonts w:cs="Simplified Arabic" w:hint="cs"/>
          <w:b/>
          <w:bCs/>
          <w:sz w:val="26"/>
          <w:szCs w:val="26"/>
          <w:rtl/>
          <w:lang w:bidi="ar-EG"/>
        </w:rPr>
      </w:pPr>
      <w:r>
        <w:rPr>
          <w:rFonts w:cs="Simplified Arabic" w:hint="cs"/>
          <w:b/>
          <w:bCs/>
          <w:sz w:val="26"/>
          <w:szCs w:val="26"/>
          <w:rtl/>
        </w:rPr>
        <w:t>المنهجية:</w:t>
      </w:r>
    </w:p>
    <w:p w:rsidR="001103AE" w:rsidRPr="00871433" w:rsidRDefault="001103AE" w:rsidP="001103AE">
      <w:pPr>
        <w:tabs>
          <w:tab w:val="left" w:pos="284"/>
        </w:tabs>
        <w:rPr>
          <w:rFonts w:cs="Simplified Arabic"/>
          <w:b/>
          <w:bCs/>
          <w:sz w:val="26"/>
          <w:szCs w:val="26"/>
          <w:u w:val="single"/>
          <w:rtl/>
        </w:rPr>
      </w:pPr>
      <w:r w:rsidRPr="0021497F">
        <w:rPr>
          <w:rFonts w:cs="Simplified Arabic" w:hint="cs"/>
          <w:b/>
          <w:bCs/>
          <w:sz w:val="26"/>
          <w:szCs w:val="26"/>
          <w:rtl/>
        </w:rPr>
        <w:t>نوع الدراسة:</w:t>
      </w:r>
      <w:r>
        <w:rPr>
          <w:rFonts w:cs="Simplified Arabic" w:hint="cs"/>
          <w:b/>
          <w:bCs/>
          <w:sz w:val="26"/>
          <w:szCs w:val="26"/>
          <w:rtl/>
        </w:rPr>
        <w:t xml:space="preserve"> </w:t>
      </w:r>
      <w:r>
        <w:rPr>
          <w:rFonts w:cs="Simplified Arabic"/>
          <w:sz w:val="26"/>
          <w:szCs w:val="26"/>
        </w:rPr>
        <w:t xml:space="preserve"> </w:t>
      </w:r>
      <w:r w:rsidRPr="00AD6F72">
        <w:rPr>
          <w:rFonts w:cs="Simplified Arabic"/>
          <w:sz w:val="26"/>
          <w:szCs w:val="26"/>
          <w:rtl/>
        </w:rPr>
        <w:t>هذ</w:t>
      </w:r>
      <w:r>
        <w:rPr>
          <w:rFonts w:cs="Simplified Arabic" w:hint="cs"/>
          <w:sz w:val="26"/>
          <w:szCs w:val="26"/>
          <w:rtl/>
        </w:rPr>
        <w:t>ه</w:t>
      </w:r>
      <w:r w:rsidRPr="00AD6F72">
        <w:rPr>
          <w:rFonts w:cs="Simplified Arabic"/>
          <w:sz w:val="26"/>
          <w:szCs w:val="26"/>
          <w:rtl/>
        </w:rPr>
        <w:t xml:space="preserve"> </w:t>
      </w:r>
      <w:r>
        <w:rPr>
          <w:rFonts w:cs="Simplified Arabic" w:hint="cs"/>
          <w:sz w:val="26"/>
          <w:szCs w:val="26"/>
          <w:rtl/>
        </w:rPr>
        <w:t>ال</w:t>
      </w:r>
      <w:r w:rsidRPr="00AD6F72">
        <w:rPr>
          <w:rFonts w:cs="Simplified Arabic"/>
          <w:sz w:val="26"/>
          <w:szCs w:val="26"/>
          <w:rtl/>
        </w:rPr>
        <w:t xml:space="preserve">دراسة اكلينيكيه </w:t>
      </w:r>
      <w:r>
        <w:rPr>
          <w:rFonts w:cs="Simplified Arabic" w:hint="cs"/>
          <w:sz w:val="26"/>
          <w:szCs w:val="26"/>
          <w:rtl/>
          <w:lang w:bidi="ar-EG"/>
        </w:rPr>
        <w:t>تتبعية</w:t>
      </w:r>
      <w:r w:rsidRPr="00AD6F72">
        <w:rPr>
          <w:rFonts w:cs="Simplified Arabic"/>
          <w:sz w:val="26"/>
          <w:szCs w:val="26"/>
          <w:rtl/>
        </w:rPr>
        <w:t xml:space="preserve"> مقارنه بين الحالات المرضيه (حالات الصرع الاولى)</w:t>
      </w:r>
      <w:r w:rsidRPr="00AD6F72">
        <w:rPr>
          <w:rFonts w:cs="Simplified Arabic"/>
          <w:sz w:val="26"/>
          <w:szCs w:val="26"/>
        </w:rPr>
        <w:t xml:space="preserve"> </w:t>
      </w:r>
      <w:r w:rsidRPr="00AD6F72">
        <w:rPr>
          <w:rFonts w:cs="Simplified Arabic"/>
          <w:sz w:val="26"/>
          <w:szCs w:val="26"/>
          <w:rtl/>
        </w:rPr>
        <w:t>وتشمل 30 حالة تم تشخيصها حديثا</w:t>
      </w:r>
      <w:r w:rsidRPr="00AD6F72">
        <w:rPr>
          <w:rFonts w:cs="Simplified Arabic"/>
          <w:sz w:val="26"/>
          <w:szCs w:val="26"/>
        </w:rPr>
        <w:t xml:space="preserve"> </w:t>
      </w:r>
      <w:r w:rsidRPr="00AD6F72">
        <w:rPr>
          <w:rFonts w:cs="Simplified Arabic"/>
          <w:sz w:val="26"/>
          <w:szCs w:val="26"/>
          <w:rtl/>
        </w:rPr>
        <w:t>قبل تعاطي أى دواء</w:t>
      </w:r>
      <w:r w:rsidRPr="00AD6F72">
        <w:rPr>
          <w:rFonts w:cs="Simplified Arabic"/>
          <w:sz w:val="26"/>
          <w:szCs w:val="26"/>
        </w:rPr>
        <w:t xml:space="preserve"> </w:t>
      </w:r>
      <w:r w:rsidRPr="00AD6F72">
        <w:rPr>
          <w:rFonts w:cs="Simplified Arabic"/>
          <w:sz w:val="26"/>
          <w:szCs w:val="26"/>
          <w:rtl/>
        </w:rPr>
        <w:t xml:space="preserve">وتم متابعتها </w:t>
      </w:r>
      <w:r>
        <w:rPr>
          <w:rFonts w:cs="Simplified Arabic" w:hint="cs"/>
          <w:sz w:val="26"/>
          <w:szCs w:val="26"/>
          <w:rtl/>
        </w:rPr>
        <w:t>لمدة</w:t>
      </w:r>
      <w:r w:rsidRPr="00AD6F72">
        <w:rPr>
          <w:rFonts w:cs="Simplified Arabic"/>
          <w:sz w:val="26"/>
          <w:szCs w:val="26"/>
          <w:rtl/>
        </w:rPr>
        <w:t xml:space="preserve"> ثلاثة</w:t>
      </w:r>
      <w:r w:rsidRPr="00AD6F72">
        <w:rPr>
          <w:rFonts w:cs="Simplified Arabic"/>
          <w:sz w:val="26"/>
          <w:szCs w:val="26"/>
          <w:rtl/>
          <w:lang w:bidi="ar-EG"/>
        </w:rPr>
        <w:t xml:space="preserve"> و خمسة</w:t>
      </w:r>
      <w:r w:rsidRPr="00AD6F72">
        <w:rPr>
          <w:rFonts w:cs="Simplified Arabic"/>
          <w:sz w:val="26"/>
          <w:szCs w:val="26"/>
          <w:rtl/>
        </w:rPr>
        <w:t xml:space="preserve"> أشهر </w:t>
      </w:r>
      <w:r>
        <w:rPr>
          <w:rFonts w:cs="Simplified Arabic" w:hint="cs"/>
          <w:sz w:val="26"/>
          <w:szCs w:val="26"/>
          <w:rtl/>
        </w:rPr>
        <w:t>(</w:t>
      </w:r>
      <w:r w:rsidRPr="00871433">
        <w:rPr>
          <w:rFonts w:cs="Simplified Arabic"/>
          <w:sz w:val="26"/>
          <w:szCs w:val="26"/>
          <w:rtl/>
        </w:rPr>
        <w:t xml:space="preserve">قياس مستوى السيروتونين فى مصل </w:t>
      </w:r>
      <w:r w:rsidRPr="00871433">
        <w:rPr>
          <w:rFonts w:cs="Simplified Arabic"/>
          <w:sz w:val="26"/>
          <w:szCs w:val="26"/>
          <w:rtl/>
          <w:lang w:bidi="ar-EG"/>
        </w:rPr>
        <w:t>الدم</w:t>
      </w:r>
      <w:r w:rsidRPr="00871433">
        <w:rPr>
          <w:rFonts w:cs="Simplified Arabic"/>
          <w:sz w:val="26"/>
          <w:szCs w:val="26"/>
          <w:rtl/>
        </w:rPr>
        <w:t xml:space="preserve"> باختبار إليزا</w:t>
      </w:r>
      <w:r>
        <w:rPr>
          <w:rFonts w:cs="Simplified Arabic" w:hint="cs"/>
          <w:sz w:val="26"/>
          <w:szCs w:val="26"/>
          <w:rtl/>
        </w:rPr>
        <w:t>)</w:t>
      </w:r>
      <w:r>
        <w:rPr>
          <w:rFonts w:cs="Simplified Arabic" w:hint="cs"/>
          <w:b/>
          <w:bCs/>
          <w:sz w:val="26"/>
          <w:szCs w:val="26"/>
          <w:u w:val="single"/>
          <w:rtl/>
          <w:lang w:bidi="ar-EG"/>
        </w:rPr>
        <w:t xml:space="preserve"> </w:t>
      </w:r>
      <w:r w:rsidRPr="00AD6F72">
        <w:rPr>
          <w:rFonts w:cs="Simplified Arabic"/>
          <w:sz w:val="26"/>
          <w:szCs w:val="26"/>
          <w:rtl/>
        </w:rPr>
        <w:t>و العلاج و الحالات الطبيعيه الضابطه</w:t>
      </w:r>
      <w:r w:rsidRPr="00AD6F72">
        <w:rPr>
          <w:rFonts w:cs="Simplified Arabic"/>
          <w:sz w:val="26"/>
          <w:szCs w:val="26"/>
        </w:rPr>
        <w:t xml:space="preserve"> </w:t>
      </w:r>
      <w:r w:rsidRPr="00AD6F72">
        <w:rPr>
          <w:rFonts w:cs="Simplified Arabic"/>
          <w:sz w:val="26"/>
          <w:szCs w:val="26"/>
          <w:rtl/>
        </w:rPr>
        <w:t>وتشمل على 30 طفلا من الذين يتمتعون بصحة جيدة ومتطابقة بالنسبة للعمر والجنس للأطفال بالمجموعة الاولى.</w:t>
      </w:r>
    </w:p>
    <w:p w:rsidR="001103AE" w:rsidRPr="00AD6F72" w:rsidRDefault="001103AE" w:rsidP="001103AE">
      <w:pPr>
        <w:tabs>
          <w:tab w:val="left" w:pos="284"/>
        </w:tabs>
        <w:rPr>
          <w:rStyle w:val="hps"/>
          <w:rFonts w:cs="Simplified Arabic"/>
          <w:b/>
          <w:bCs/>
          <w:sz w:val="26"/>
          <w:szCs w:val="26"/>
          <w:u w:val="single"/>
          <w:rtl/>
        </w:rPr>
      </w:pPr>
      <w:r w:rsidRPr="001103AE">
        <w:rPr>
          <w:rStyle w:val="hps"/>
          <w:rFonts w:cs="Simplified Arabic"/>
          <w:b/>
          <w:bCs/>
          <w:sz w:val="26"/>
          <w:szCs w:val="26"/>
          <w:u w:val="single"/>
          <w:rtl/>
        </w:rPr>
        <w:t>معايير</w:t>
      </w:r>
      <w:r w:rsidRPr="001103AE">
        <w:rPr>
          <w:rStyle w:val="hps"/>
          <w:rFonts w:cs="Simplified Arabic"/>
          <w:b/>
          <w:bCs/>
          <w:sz w:val="26"/>
          <w:szCs w:val="26"/>
          <w:u w:val="single"/>
          <w:rtl/>
          <w:lang w:bidi="ar-EG"/>
        </w:rPr>
        <w:t xml:space="preserve"> الا</w:t>
      </w:r>
      <w:r w:rsidRPr="001103AE">
        <w:rPr>
          <w:rStyle w:val="hps"/>
          <w:rFonts w:cs="Simplified Arabic"/>
          <w:b/>
          <w:bCs/>
          <w:sz w:val="26"/>
          <w:szCs w:val="26"/>
          <w:u w:val="single"/>
          <w:rtl/>
        </w:rPr>
        <w:t>دراج</w:t>
      </w:r>
      <w:r>
        <w:rPr>
          <w:rStyle w:val="hps"/>
          <w:rFonts w:cs="Simplified Arabic" w:hint="cs"/>
          <w:b/>
          <w:bCs/>
          <w:sz w:val="26"/>
          <w:szCs w:val="26"/>
          <w:u w:val="single"/>
          <w:rtl/>
        </w:rPr>
        <w:t xml:space="preserve"> للحالات</w:t>
      </w:r>
      <w:r w:rsidRPr="001103AE">
        <w:rPr>
          <w:rStyle w:val="hps"/>
          <w:rFonts w:cs="Simplified Arabic" w:hint="cs"/>
          <w:b/>
          <w:bCs/>
          <w:sz w:val="26"/>
          <w:szCs w:val="26"/>
          <w:u w:val="single"/>
          <w:rtl/>
        </w:rPr>
        <w:t>:</w:t>
      </w:r>
      <w:r>
        <w:rPr>
          <w:rFonts w:cs="Simplified Arabic" w:hint="cs"/>
          <w:sz w:val="26"/>
          <w:szCs w:val="26"/>
          <w:rtl/>
        </w:rPr>
        <w:t xml:space="preserve"> </w:t>
      </w:r>
      <w:r w:rsidRPr="00AD6F72">
        <w:rPr>
          <w:rStyle w:val="hps"/>
          <w:rFonts w:cs="Simplified Arabic"/>
          <w:sz w:val="26"/>
          <w:szCs w:val="26"/>
          <w:rtl/>
        </w:rPr>
        <w:t>الحالات التي تم تشخيصها</w:t>
      </w:r>
      <w:r w:rsidRPr="00AD6F72">
        <w:rPr>
          <w:rFonts w:cs="Simplified Arabic"/>
          <w:sz w:val="26"/>
          <w:szCs w:val="26"/>
          <w:rtl/>
        </w:rPr>
        <w:t xml:space="preserve"> </w:t>
      </w:r>
      <w:r w:rsidRPr="00AD6F72">
        <w:rPr>
          <w:rStyle w:val="hps"/>
          <w:rFonts w:cs="Simplified Arabic"/>
          <w:sz w:val="26"/>
          <w:szCs w:val="26"/>
          <w:rtl/>
        </w:rPr>
        <w:t>حديثا</w:t>
      </w:r>
      <w:r>
        <w:rPr>
          <w:rStyle w:val="hps"/>
          <w:rFonts w:cs="Simplified Arabic" w:hint="cs"/>
          <w:sz w:val="26"/>
          <w:szCs w:val="26"/>
          <w:rtl/>
        </w:rPr>
        <w:t xml:space="preserve"> - </w:t>
      </w:r>
      <w:r w:rsidRPr="00AD6F72">
        <w:rPr>
          <w:rStyle w:val="hps"/>
          <w:rFonts w:cs="Simplified Arabic"/>
          <w:sz w:val="26"/>
          <w:szCs w:val="26"/>
        </w:rPr>
        <w:t xml:space="preserve"> </w:t>
      </w:r>
      <w:r w:rsidRPr="00AD6F72">
        <w:rPr>
          <w:rStyle w:val="hps"/>
          <w:rFonts w:cs="Simplified Arabic"/>
          <w:sz w:val="26"/>
          <w:szCs w:val="26"/>
          <w:rtl/>
        </w:rPr>
        <w:t>5-15 سنة من العمر</w:t>
      </w:r>
      <w:r>
        <w:rPr>
          <w:rStyle w:val="hps"/>
          <w:rFonts w:cs="Simplified Arabic" w:hint="cs"/>
          <w:sz w:val="26"/>
          <w:szCs w:val="26"/>
          <w:rtl/>
        </w:rPr>
        <w:t xml:space="preserve">- </w:t>
      </w:r>
      <w:r w:rsidRPr="00AD6F72">
        <w:rPr>
          <w:rStyle w:val="hps"/>
          <w:rFonts w:cs="Simplified Arabic"/>
          <w:sz w:val="26"/>
          <w:szCs w:val="26"/>
          <w:rtl/>
        </w:rPr>
        <w:t>الحضور</w:t>
      </w:r>
      <w:r w:rsidRPr="00AD6F72">
        <w:rPr>
          <w:rFonts w:cs="Simplified Arabic"/>
          <w:sz w:val="26"/>
          <w:szCs w:val="26"/>
          <w:rtl/>
        </w:rPr>
        <w:t xml:space="preserve"> </w:t>
      </w:r>
      <w:r w:rsidRPr="00AD6F72">
        <w:rPr>
          <w:rStyle w:val="hps"/>
          <w:rFonts w:cs="Simplified Arabic"/>
          <w:sz w:val="26"/>
          <w:szCs w:val="26"/>
          <w:rtl/>
        </w:rPr>
        <w:t xml:space="preserve">المنتظم </w:t>
      </w:r>
      <w:r w:rsidRPr="00AD6F72">
        <w:rPr>
          <w:rFonts w:cs="Simplified Arabic"/>
          <w:sz w:val="26"/>
          <w:szCs w:val="26"/>
          <w:rtl/>
        </w:rPr>
        <w:t>في الدراسة</w:t>
      </w:r>
      <w:r>
        <w:rPr>
          <w:rFonts w:cs="Simplified Arabic" w:hint="cs"/>
          <w:sz w:val="26"/>
          <w:szCs w:val="26"/>
          <w:rtl/>
        </w:rPr>
        <w:t xml:space="preserve"> -</w:t>
      </w:r>
      <w:r w:rsidRPr="00AD6F72">
        <w:rPr>
          <w:rStyle w:val="hps"/>
          <w:rFonts w:cs="Simplified Arabic"/>
          <w:sz w:val="26"/>
          <w:szCs w:val="26"/>
          <w:rtl/>
        </w:rPr>
        <w:t>قبول</w:t>
      </w:r>
      <w:r w:rsidRPr="00AD6F72">
        <w:rPr>
          <w:rFonts w:cs="Simplified Arabic"/>
          <w:sz w:val="26"/>
          <w:szCs w:val="26"/>
          <w:rtl/>
        </w:rPr>
        <w:t xml:space="preserve"> ال</w:t>
      </w:r>
      <w:r w:rsidRPr="00AD6F72">
        <w:rPr>
          <w:rStyle w:val="hps"/>
          <w:rFonts w:cs="Simplified Arabic"/>
          <w:sz w:val="26"/>
          <w:szCs w:val="26"/>
          <w:rtl/>
        </w:rPr>
        <w:t>التحاق بالدراسة</w:t>
      </w:r>
    </w:p>
    <w:p w:rsidR="001103AE" w:rsidRPr="00AD6F72" w:rsidRDefault="001103AE" w:rsidP="001103AE">
      <w:pPr>
        <w:tabs>
          <w:tab w:val="left" w:pos="284"/>
        </w:tabs>
        <w:rPr>
          <w:rFonts w:cs="Simplified Arabic"/>
          <w:sz w:val="26"/>
          <w:szCs w:val="26"/>
        </w:rPr>
      </w:pPr>
      <w:r w:rsidRPr="001103AE">
        <w:rPr>
          <w:rStyle w:val="hps"/>
          <w:rFonts w:cs="Simplified Arabic"/>
          <w:b/>
          <w:bCs/>
          <w:sz w:val="26"/>
          <w:szCs w:val="26"/>
          <w:u w:val="single"/>
          <w:rtl/>
        </w:rPr>
        <w:t>معايير الاستبعاد</w:t>
      </w:r>
      <w:r>
        <w:rPr>
          <w:rStyle w:val="hps"/>
          <w:rFonts w:cs="Simplified Arabic" w:hint="cs"/>
          <w:b/>
          <w:bCs/>
          <w:sz w:val="26"/>
          <w:szCs w:val="26"/>
          <w:u w:val="single"/>
          <w:rtl/>
        </w:rPr>
        <w:t>للحالات</w:t>
      </w:r>
      <w:r w:rsidRPr="001103AE">
        <w:rPr>
          <w:rStyle w:val="hps"/>
          <w:rFonts w:cs="Simplified Arabic" w:hint="cs"/>
          <w:b/>
          <w:bCs/>
          <w:sz w:val="26"/>
          <w:szCs w:val="26"/>
          <w:u w:val="single"/>
          <w:rtl/>
        </w:rPr>
        <w:t>:</w:t>
      </w:r>
      <w:r w:rsidRPr="001103AE">
        <w:rPr>
          <w:rFonts w:cs="Simplified Arabic"/>
          <w:b/>
          <w:bCs/>
          <w:sz w:val="26"/>
          <w:szCs w:val="26"/>
        </w:rPr>
        <w:t xml:space="preserve"> </w:t>
      </w:r>
      <w:r>
        <w:rPr>
          <w:rFonts w:cs="Simplified Arabic" w:hint="cs"/>
          <w:sz w:val="26"/>
          <w:szCs w:val="26"/>
          <w:rtl/>
        </w:rPr>
        <w:t xml:space="preserve"> </w:t>
      </w:r>
      <w:r w:rsidRPr="00AD6F72">
        <w:rPr>
          <w:rStyle w:val="hps"/>
          <w:rFonts w:cs="Simplified Arabic"/>
          <w:sz w:val="26"/>
          <w:szCs w:val="26"/>
          <w:rtl/>
        </w:rPr>
        <w:t>استخدام</w:t>
      </w:r>
      <w:r w:rsidRPr="00AD6F72">
        <w:rPr>
          <w:rFonts w:cs="Simplified Arabic"/>
          <w:sz w:val="26"/>
          <w:szCs w:val="26"/>
          <w:rtl/>
        </w:rPr>
        <w:t xml:space="preserve"> </w:t>
      </w:r>
      <w:r w:rsidRPr="00AD6F72">
        <w:rPr>
          <w:rStyle w:val="hps"/>
          <w:rFonts w:cs="Simplified Arabic"/>
          <w:sz w:val="26"/>
          <w:szCs w:val="26"/>
          <w:rtl/>
        </w:rPr>
        <w:t>الأدوية</w:t>
      </w:r>
      <w:r w:rsidRPr="00AD6F72">
        <w:rPr>
          <w:rFonts w:cs="Simplified Arabic"/>
          <w:sz w:val="26"/>
          <w:szCs w:val="26"/>
          <w:rtl/>
        </w:rPr>
        <w:t xml:space="preserve"> </w:t>
      </w:r>
      <w:r w:rsidRPr="00AD6F72">
        <w:rPr>
          <w:rStyle w:val="hps"/>
          <w:rFonts w:cs="Simplified Arabic"/>
          <w:sz w:val="26"/>
          <w:szCs w:val="26"/>
          <w:rtl/>
        </w:rPr>
        <w:t>التي تؤثر على</w:t>
      </w:r>
      <w:r w:rsidRPr="00AD6F72">
        <w:rPr>
          <w:rFonts w:cs="Simplified Arabic"/>
          <w:sz w:val="26"/>
          <w:szCs w:val="26"/>
          <w:rtl/>
        </w:rPr>
        <w:t xml:space="preserve"> </w:t>
      </w:r>
      <w:r w:rsidRPr="00AD6F72">
        <w:rPr>
          <w:rStyle w:val="hps"/>
          <w:rFonts w:cs="Simplified Arabic"/>
          <w:sz w:val="26"/>
          <w:szCs w:val="26"/>
          <w:rtl/>
        </w:rPr>
        <w:t>مستوى</w:t>
      </w:r>
      <w:r w:rsidRPr="00AD6F72">
        <w:rPr>
          <w:rFonts w:cs="Simplified Arabic"/>
          <w:sz w:val="26"/>
          <w:szCs w:val="26"/>
          <w:rtl/>
        </w:rPr>
        <w:t xml:space="preserve"> </w:t>
      </w:r>
      <w:r w:rsidRPr="00AD6F72">
        <w:rPr>
          <w:rStyle w:val="hps"/>
          <w:rFonts w:cs="Simplified Arabic"/>
          <w:sz w:val="26"/>
          <w:szCs w:val="26"/>
          <w:rtl/>
        </w:rPr>
        <w:t>السيروتونين</w:t>
      </w:r>
      <w:r w:rsidRPr="00AD6F72">
        <w:rPr>
          <w:rFonts w:cs="Simplified Arabic"/>
          <w:sz w:val="26"/>
          <w:szCs w:val="26"/>
          <w:rtl/>
        </w:rPr>
        <w:t xml:space="preserve"> </w:t>
      </w:r>
      <w:r w:rsidRPr="00AD6F72">
        <w:rPr>
          <w:rStyle w:val="hps"/>
          <w:rFonts w:cs="Simplified Arabic"/>
          <w:sz w:val="26"/>
          <w:szCs w:val="26"/>
          <w:rtl/>
        </w:rPr>
        <w:t xml:space="preserve">مثل: </w:t>
      </w:r>
      <w:r w:rsidRPr="00AD6F72">
        <w:rPr>
          <w:rFonts w:cs="Simplified Arabic"/>
          <w:sz w:val="26"/>
          <w:szCs w:val="26"/>
          <w:rtl/>
        </w:rPr>
        <w:t>أميتريبتيلين،</w:t>
      </w:r>
      <w:r w:rsidRPr="00AD6F72">
        <w:rPr>
          <w:rFonts w:cs="Simplified Arabic" w:hint="cs"/>
          <w:sz w:val="26"/>
          <w:szCs w:val="26"/>
          <w:rtl/>
        </w:rPr>
        <w:t xml:space="preserve"> </w:t>
      </w:r>
      <w:r w:rsidRPr="00AD6F72">
        <w:rPr>
          <w:rFonts w:cs="Simplified Arabic"/>
          <w:sz w:val="26"/>
          <w:szCs w:val="26"/>
          <w:rtl/>
        </w:rPr>
        <w:t>سماتربتان،</w:t>
      </w:r>
      <w:r w:rsidRPr="00AD6F72">
        <w:rPr>
          <w:rFonts w:cs="Simplified Arabic"/>
          <w:sz w:val="26"/>
          <w:szCs w:val="26"/>
        </w:rPr>
        <w:t> </w:t>
      </w:r>
      <w:r w:rsidRPr="00AD6F72">
        <w:rPr>
          <w:rFonts w:cs="Simplified Arabic"/>
          <w:sz w:val="26"/>
          <w:szCs w:val="26"/>
          <w:rtl/>
        </w:rPr>
        <w:t>فلوكستين</w:t>
      </w:r>
      <w:r>
        <w:rPr>
          <w:rFonts w:cs="Simplified Arabic" w:hint="cs"/>
          <w:sz w:val="26"/>
          <w:szCs w:val="26"/>
          <w:rtl/>
        </w:rPr>
        <w:t xml:space="preserve">- </w:t>
      </w:r>
      <w:r w:rsidRPr="00AD6F72">
        <w:rPr>
          <w:rStyle w:val="hps"/>
          <w:rFonts w:cs="Simplified Arabic"/>
          <w:sz w:val="26"/>
          <w:szCs w:val="26"/>
          <w:rtl/>
        </w:rPr>
        <w:t>الحالات ذات</w:t>
      </w:r>
      <w:r w:rsidRPr="00AD6F72">
        <w:rPr>
          <w:rFonts w:cs="Simplified Arabic"/>
          <w:sz w:val="26"/>
          <w:szCs w:val="26"/>
          <w:rtl/>
        </w:rPr>
        <w:t xml:space="preserve"> الا</w:t>
      </w:r>
      <w:r w:rsidRPr="00AD6F72">
        <w:rPr>
          <w:rStyle w:val="hps"/>
          <w:rFonts w:cs="Simplified Arabic"/>
          <w:sz w:val="26"/>
          <w:szCs w:val="26"/>
          <w:rtl/>
        </w:rPr>
        <w:t>سباب</w:t>
      </w:r>
      <w:r w:rsidRPr="00AD6F72">
        <w:rPr>
          <w:rFonts w:cs="Simplified Arabic"/>
          <w:sz w:val="26"/>
          <w:szCs w:val="26"/>
          <w:rtl/>
        </w:rPr>
        <w:t xml:space="preserve"> </w:t>
      </w:r>
      <w:r w:rsidRPr="00AD6F72">
        <w:rPr>
          <w:rStyle w:val="hps"/>
          <w:rFonts w:cs="Simplified Arabic"/>
          <w:sz w:val="26"/>
          <w:szCs w:val="26"/>
          <w:rtl/>
        </w:rPr>
        <w:t>الثانوية</w:t>
      </w:r>
      <w:r w:rsidRPr="00AD6F72">
        <w:rPr>
          <w:rFonts w:cs="Simplified Arabic"/>
          <w:sz w:val="26"/>
          <w:szCs w:val="26"/>
          <w:rtl/>
        </w:rPr>
        <w:t xml:space="preserve"> </w:t>
      </w:r>
      <w:r w:rsidRPr="00AD6F72">
        <w:rPr>
          <w:rStyle w:val="hps"/>
          <w:rFonts w:cs="Simplified Arabic"/>
          <w:sz w:val="26"/>
          <w:szCs w:val="26"/>
          <w:rtl/>
        </w:rPr>
        <w:t>للصرع</w:t>
      </w:r>
    </w:p>
    <w:p w:rsidR="001103AE" w:rsidRPr="002A3214" w:rsidRDefault="001103AE" w:rsidP="001103AE">
      <w:pPr>
        <w:tabs>
          <w:tab w:val="left" w:pos="284"/>
        </w:tabs>
        <w:rPr>
          <w:rFonts w:cs="Simplified Arabic"/>
          <w:b/>
          <w:bCs/>
          <w:sz w:val="26"/>
          <w:szCs w:val="26"/>
          <w:u w:val="single"/>
          <w:rtl/>
          <w:lang w:bidi="ar-EG"/>
        </w:rPr>
      </w:pPr>
      <w:r w:rsidRPr="002A3214">
        <w:rPr>
          <w:rFonts w:cs="Simplified Arabic"/>
          <w:b/>
          <w:bCs/>
          <w:sz w:val="26"/>
          <w:szCs w:val="26"/>
          <w:u w:val="single"/>
          <w:rtl/>
          <w:lang w:bidi="ar-EG"/>
        </w:rPr>
        <w:t>النتائج:</w:t>
      </w:r>
    </w:p>
    <w:p w:rsidR="001103AE" w:rsidRPr="002A3214" w:rsidRDefault="001103AE" w:rsidP="001103AE">
      <w:pPr>
        <w:tabs>
          <w:tab w:val="left" w:pos="284"/>
        </w:tabs>
        <w:jc w:val="both"/>
        <w:rPr>
          <w:rFonts w:cs="Simplified Arabic"/>
          <w:sz w:val="26"/>
          <w:szCs w:val="26"/>
          <w:rtl/>
        </w:rPr>
      </w:pPr>
      <w:r>
        <w:rPr>
          <w:rFonts w:cs="Simplified Arabic" w:hint="cs"/>
          <w:sz w:val="26"/>
          <w:szCs w:val="26"/>
          <w:rtl/>
          <w:lang w:bidi="ar-EG"/>
        </w:rPr>
        <w:t>أظهرت نتائج</w:t>
      </w:r>
      <w:r w:rsidRPr="002A3214">
        <w:rPr>
          <w:rFonts w:cs="Simplified Arabic"/>
          <w:sz w:val="26"/>
          <w:szCs w:val="26"/>
          <w:rtl/>
        </w:rPr>
        <w:t xml:space="preserve"> الدراسة أن متوسط ​​مستويات السيروتونين في الدم لم تظهر أي فرق ذو دلالة بين المرضى الجدد للصرع (في بداية الدراسة) والمجموعة الضابطة، في الوقت نفسه لم يكن هناك اختلاف كبير لوحظ بعد 3 أشهر من الدراسة. ولكن الدراسة أظهرت أن مستوى السيروتونين انخفض بمستوى كبير في مجموعة المرضى بالصرع مقارنة بالمجموعة الضابطة بعد 5 أشهر من المتابعة. وعلاوة على ذلك، فإن الدراسة لم تظهر أي ارتباط ملموس بين مستوى السيروتونين ومدة المرض، ونوع من الأدوية المضادة للصرع المقررة، وكذلك مقياس شدة تشالفونت.</w:t>
      </w:r>
    </w:p>
    <w:p w:rsidR="001103AE" w:rsidRPr="001103AE" w:rsidRDefault="001103AE" w:rsidP="001103AE">
      <w:pPr>
        <w:tabs>
          <w:tab w:val="left" w:pos="284"/>
        </w:tabs>
        <w:jc w:val="both"/>
        <w:rPr>
          <w:rFonts w:cs="Simplified Arabic" w:hint="cs"/>
          <w:b/>
          <w:bCs/>
          <w:sz w:val="26"/>
          <w:szCs w:val="26"/>
          <w:u w:val="single"/>
          <w:rtl/>
          <w:lang w:bidi="ar-EG"/>
        </w:rPr>
      </w:pPr>
      <w:r w:rsidRPr="001103AE">
        <w:rPr>
          <w:rFonts w:cs="Simplified Arabic" w:hint="cs"/>
          <w:b/>
          <w:bCs/>
          <w:sz w:val="26"/>
          <w:szCs w:val="26"/>
          <w:u w:val="single"/>
          <w:rtl/>
          <w:lang w:bidi="ar-EG"/>
        </w:rPr>
        <w:t>الخلاصة:</w:t>
      </w:r>
    </w:p>
    <w:p w:rsidR="00807206" w:rsidRDefault="001103AE" w:rsidP="00326955">
      <w:pPr>
        <w:tabs>
          <w:tab w:val="left" w:pos="284"/>
        </w:tabs>
        <w:jc w:val="both"/>
        <w:rPr>
          <w:rFonts w:hint="cs"/>
          <w:lang w:bidi="ar-EG"/>
        </w:rPr>
      </w:pPr>
      <w:r w:rsidRPr="002A3214">
        <w:rPr>
          <w:rFonts w:cs="Simplified Arabic"/>
          <w:sz w:val="26"/>
          <w:szCs w:val="26"/>
          <w:rtl/>
        </w:rPr>
        <w:t xml:space="preserve">يمكننا أن نستنتج من خلال هذه الدراسة أنه على الرغم من أن السيروتونين هو ناقل عصبي معروف حتى الآن، ليس لديه تأثير كبير على </w:t>
      </w:r>
      <w:r w:rsidRPr="002A3214">
        <w:rPr>
          <w:rFonts w:cs="Simplified Arabic"/>
          <w:sz w:val="26"/>
          <w:szCs w:val="26"/>
          <w:rtl/>
          <w:lang w:bidi="ar-EG"/>
        </w:rPr>
        <w:t>حدوث نوبات الصرع</w:t>
      </w:r>
      <w:r w:rsidRPr="002A3214">
        <w:rPr>
          <w:rFonts w:cs="Simplified Arabic"/>
          <w:sz w:val="26"/>
          <w:szCs w:val="26"/>
          <w:rtl/>
        </w:rPr>
        <w:t xml:space="preserve"> بالمقارنة مع الناقلات العصبية في الدماغ الأخرى. ومع ذلك، أظهرت الدراسة أن مدة العلاج بالعقاقير قد يكون لها تأثير على مستوى السيروتونين. ولذلك، فإننا نوصي بدراسة أخرى على مستوى السيروتونين في الدم لدى مرضى الصرع المستعصي وكذلك المصابون بالصرع والذين يخضعون للعلاج بالأدوية المضادة للصرع لمدة أطول من المتابعة.</w:t>
      </w:r>
    </w:p>
    <w:sectPr w:rsidR="00807206" w:rsidSect="000A3F37">
      <w:footerReference w:type="default" r:id="rId29"/>
      <w:pgSz w:w="11906" w:h="16838"/>
      <w:pgMar w:top="1440"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5A0" w:rsidRDefault="000445A0" w:rsidP="00192377">
      <w:r>
        <w:separator/>
      </w:r>
    </w:p>
  </w:endnote>
  <w:endnote w:type="continuationSeparator" w:id="0">
    <w:p w:rsidR="000445A0" w:rsidRDefault="000445A0" w:rsidP="00192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eehand471 BT">
    <w:altName w:val="Mistral"/>
    <w:charset w:val="00"/>
    <w:family w:val="script"/>
    <w:pitch w:val="variable"/>
    <w:sig w:usb0="00000001" w:usb1="00000000" w:usb2="00000000" w:usb3="00000000" w:csb0="0000001B" w:csb1="00000000"/>
  </w:font>
  <w:font w:name="Simplified Arabic">
    <w:panose1 w:val="02020603050405020304"/>
    <w:charset w:val="00"/>
    <w:family w:val="roman"/>
    <w:pitch w:val="variable"/>
    <w:sig w:usb0="00002003" w:usb1="00000000" w:usb2="00000000" w:usb3="00000000" w:csb0="00000041" w:csb1="00000000"/>
  </w:font>
  <w:font w:name="PT Bold Heading">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377" w:rsidRDefault="00192377">
    <w:pPr>
      <w:pStyle w:val="Footer"/>
      <w:jc w:val="center"/>
    </w:pPr>
    <w:fldSimple w:instr=" PAGE   \* MERGEFORMAT ">
      <w:r w:rsidR="00C06D2E">
        <w:rPr>
          <w:noProof/>
          <w:rtl/>
        </w:rPr>
        <w:t>12</w:t>
      </w:r>
    </w:fldSimple>
  </w:p>
  <w:p w:rsidR="00192377" w:rsidRDefault="00192377">
    <w:pPr>
      <w:pStyle w:val="Footer"/>
      <w:rPr>
        <w:rFonts w:hint="cs"/>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5A0" w:rsidRDefault="000445A0" w:rsidP="00192377">
      <w:r>
        <w:separator/>
      </w:r>
    </w:p>
  </w:footnote>
  <w:footnote w:type="continuationSeparator" w:id="0">
    <w:p w:rsidR="000445A0" w:rsidRDefault="000445A0" w:rsidP="00192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B3324"/>
    <w:multiLevelType w:val="hybridMultilevel"/>
    <w:tmpl w:val="56266CE4"/>
    <w:lvl w:ilvl="0" w:tplc="896099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3F37"/>
    <w:rsid w:val="000445A0"/>
    <w:rsid w:val="000A3F37"/>
    <w:rsid w:val="001103AE"/>
    <w:rsid w:val="00192377"/>
    <w:rsid w:val="001E25C2"/>
    <w:rsid w:val="00291764"/>
    <w:rsid w:val="00302870"/>
    <w:rsid w:val="00326955"/>
    <w:rsid w:val="00337820"/>
    <w:rsid w:val="00340D24"/>
    <w:rsid w:val="00350117"/>
    <w:rsid w:val="003E0DA6"/>
    <w:rsid w:val="00527BA8"/>
    <w:rsid w:val="0065246F"/>
    <w:rsid w:val="0066560D"/>
    <w:rsid w:val="006A4F65"/>
    <w:rsid w:val="006D0E8A"/>
    <w:rsid w:val="007073B0"/>
    <w:rsid w:val="00721932"/>
    <w:rsid w:val="00807206"/>
    <w:rsid w:val="00881C83"/>
    <w:rsid w:val="008B4125"/>
    <w:rsid w:val="009606E0"/>
    <w:rsid w:val="00A06E81"/>
    <w:rsid w:val="00AE5F23"/>
    <w:rsid w:val="00B2768A"/>
    <w:rsid w:val="00BD4E3A"/>
    <w:rsid w:val="00BF4208"/>
    <w:rsid w:val="00C06D2E"/>
    <w:rsid w:val="00C379C8"/>
    <w:rsid w:val="00CB2AC8"/>
    <w:rsid w:val="00E45502"/>
    <w:rsid w:val="00F02B23"/>
    <w:rsid w:val="00F432EE"/>
    <w:rsid w:val="00FB6F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37"/>
    <w:pPr>
      <w:bidi/>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A3F37"/>
    <w:rPr>
      <w:rFonts w:cs="Times New Roman"/>
      <w:color w:val="0000FF"/>
      <w:u w:val="single"/>
    </w:rPr>
  </w:style>
  <w:style w:type="character" w:customStyle="1" w:styleId="chapter-title1">
    <w:name w:val="chapter-title1"/>
    <w:rsid w:val="000A3F37"/>
    <w:rPr>
      <w:rFonts w:cs="Times New Roman"/>
      <w:b/>
      <w:bCs/>
      <w:color w:val="auto"/>
      <w:sz w:val="24"/>
      <w:szCs w:val="24"/>
    </w:rPr>
  </w:style>
  <w:style w:type="paragraph" w:styleId="ListParagraph">
    <w:name w:val="List Paragraph"/>
    <w:basedOn w:val="Normal"/>
    <w:uiPriority w:val="34"/>
    <w:qFormat/>
    <w:rsid w:val="000A3F37"/>
    <w:pPr>
      <w:bidi w:val="0"/>
      <w:spacing w:after="200" w:line="276" w:lineRule="auto"/>
      <w:ind w:left="720"/>
    </w:pPr>
    <w:rPr>
      <w:rFonts w:ascii="Calibri" w:hAnsi="Calibri" w:cs="Arial"/>
      <w:sz w:val="22"/>
      <w:szCs w:val="22"/>
    </w:rPr>
  </w:style>
  <w:style w:type="paragraph" w:customStyle="1" w:styleId="Standard">
    <w:name w:val="Standard"/>
    <w:uiPriority w:val="99"/>
    <w:rsid w:val="000A3F37"/>
    <w:pPr>
      <w:widowControl w:val="0"/>
      <w:suppressAutoHyphens/>
    </w:pPr>
    <w:rPr>
      <w:rFonts w:ascii="Times New Roman" w:hAnsi="Times New Roman" w:cs="Times New Roman"/>
      <w:kern w:val="2"/>
      <w:sz w:val="24"/>
      <w:szCs w:val="24"/>
      <w:lang w:val="en-GB" w:eastAsia="hi-IN" w:bidi="hi-IN"/>
    </w:rPr>
  </w:style>
  <w:style w:type="paragraph" w:styleId="BalloonText">
    <w:name w:val="Balloon Text"/>
    <w:basedOn w:val="Normal"/>
    <w:link w:val="BalloonTextChar"/>
    <w:uiPriority w:val="99"/>
    <w:semiHidden/>
    <w:unhideWhenUsed/>
    <w:rsid w:val="000A3F37"/>
    <w:rPr>
      <w:rFonts w:ascii="Tahoma" w:hAnsi="Tahoma"/>
      <w:sz w:val="16"/>
      <w:szCs w:val="16"/>
      <w:lang/>
    </w:rPr>
  </w:style>
  <w:style w:type="character" w:customStyle="1" w:styleId="BalloonTextChar">
    <w:name w:val="Balloon Text Char"/>
    <w:link w:val="BalloonText"/>
    <w:uiPriority w:val="99"/>
    <w:semiHidden/>
    <w:rsid w:val="000A3F37"/>
    <w:rPr>
      <w:rFonts w:ascii="Tahoma" w:eastAsia="Times New Roman" w:hAnsi="Tahoma" w:cs="Tahoma"/>
      <w:sz w:val="16"/>
      <w:szCs w:val="16"/>
    </w:rPr>
  </w:style>
  <w:style w:type="paragraph" w:styleId="Header">
    <w:name w:val="header"/>
    <w:basedOn w:val="Normal"/>
    <w:link w:val="HeaderChar"/>
    <w:uiPriority w:val="99"/>
    <w:semiHidden/>
    <w:unhideWhenUsed/>
    <w:rsid w:val="00192377"/>
    <w:pPr>
      <w:tabs>
        <w:tab w:val="center" w:pos="4153"/>
        <w:tab w:val="right" w:pos="8306"/>
      </w:tabs>
    </w:pPr>
    <w:rPr>
      <w:lang/>
    </w:rPr>
  </w:style>
  <w:style w:type="character" w:customStyle="1" w:styleId="HeaderChar">
    <w:name w:val="Header Char"/>
    <w:link w:val="Header"/>
    <w:uiPriority w:val="99"/>
    <w:semiHidden/>
    <w:rsid w:val="001923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2377"/>
    <w:pPr>
      <w:tabs>
        <w:tab w:val="center" w:pos="4153"/>
        <w:tab w:val="right" w:pos="8306"/>
      </w:tabs>
    </w:pPr>
    <w:rPr>
      <w:lang/>
    </w:rPr>
  </w:style>
  <w:style w:type="character" w:customStyle="1" w:styleId="FooterChar">
    <w:name w:val="Footer Char"/>
    <w:link w:val="Footer"/>
    <w:uiPriority w:val="99"/>
    <w:rsid w:val="00192377"/>
    <w:rPr>
      <w:rFonts w:ascii="Times New Roman" w:eastAsia="Times New Roman" w:hAnsi="Times New Roman" w:cs="Times New Roman"/>
      <w:sz w:val="24"/>
      <w:szCs w:val="24"/>
    </w:rPr>
  </w:style>
  <w:style w:type="character" w:customStyle="1" w:styleId="hps">
    <w:name w:val="hps"/>
    <w:rsid w:val="001103A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ncbi.nlm.nih.gov/pubmed?term=%22Cowan%20LD%22%5BAuthor%5D&amp;itool=EntrezSystem2.PEntrez.Pubmed.Pubmed_ResultsPanel.Pubmed_RVAbstract" TargetMode="External"/><Relationship Id="rId18" Type="http://schemas.openxmlformats.org/officeDocument/2006/relationships/hyperlink" Target="http://www.ncbi.nlm.nih.gov/pubmed?term=Li%20MY%5BAuthor%5D&amp;cauthor=true&amp;cauthor_uid=9178847" TargetMode="External"/><Relationship Id="rId26" Type="http://schemas.openxmlformats.org/officeDocument/2006/relationships/hyperlink" Target="http://www.ncbi.nlm.nih.gov/pubmed?term=%22Knottnerus%20JA%22%5BAuthor%5D&amp;itool=EntrezSystem2.PEntrez.Pubmed.Pubmed_ResultsPanel.Pubmed_RVAbstract" TargetMode="External"/><Relationship Id="rId3" Type="http://schemas.openxmlformats.org/officeDocument/2006/relationships/styles" Target="styles.xml"/><Relationship Id="rId21" Type="http://schemas.openxmlformats.org/officeDocument/2006/relationships/hyperlink" Target="http://onlinelibrary.wiley.com/doi/10.1111/epi.2010.51.issue-4/issuetoc" TargetMode="External"/><Relationship Id="rId7" Type="http://schemas.openxmlformats.org/officeDocument/2006/relationships/endnotes" Target="endnotes.xml"/><Relationship Id="rId12" Type="http://schemas.openxmlformats.org/officeDocument/2006/relationships/hyperlink" Target="http://www.unboundmedicine.com/medline/?st=M&amp;journal=Boll%20Soc%20Ital%20Biol%20Sper" TargetMode="External"/><Relationship Id="rId17" Type="http://schemas.openxmlformats.org/officeDocument/2006/relationships/hyperlink" Target="http://www.ncbi.nlm.nih.gov/pubmed?term=Yan%20QS%5BAuthor%5D&amp;cauthor=true&amp;cauthor_uid=9178847" TargetMode="External"/><Relationship Id="rId25" Type="http://schemas.openxmlformats.org/officeDocument/2006/relationships/hyperlink" Target="http://www.ncbi.nlm.nih.gov/pubmed?term=%22de%20Krom%20MC%22%5BAuthor%5D&amp;itool=EntrezSystem2.PEntrez.Pubmed.Pubmed_ResultsPanel.Pubmed_RVAbstract" TargetMode="External"/><Relationship Id="rId2" Type="http://schemas.openxmlformats.org/officeDocument/2006/relationships/numbering" Target="numbering.xml"/><Relationship Id="rId16" Type="http://schemas.openxmlformats.org/officeDocument/2006/relationships/hyperlink" Target="http://www.ncbi.nlm.nih.gov/pubmed?term=Reith%20ME%5BAuthor%5D&amp;cauthor=true&amp;cauthor_uid=9178847" TargetMode="External"/><Relationship Id="rId20" Type="http://schemas.openxmlformats.org/officeDocument/2006/relationships/hyperlink" Target="http://www.ncbi.nlm.nih.gov/pubmed/?term=Dailey+JW%2C+Reith+ME%2C+Yan+QS%2C+Li+MY%2C+Jobe+PC.+Anticonvulsant+doses+of+carbamazepine+increa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boundmedicine.com/medline/?st=M&amp;author=Casacchia%20M" TargetMode="External"/><Relationship Id="rId24" Type="http://schemas.openxmlformats.org/officeDocument/2006/relationships/hyperlink" Target="http://www.ncbi.nlm.nih.gov/pubmed?term=%22Kessels%20FG%22%5BAuthor%5D&amp;itool=EntrezSystem2.PEntrez.Pubmed.Pubmed_ResultsPanel.Pubmed_RVAbstract" TargetMode="External"/><Relationship Id="rId5" Type="http://schemas.openxmlformats.org/officeDocument/2006/relationships/webSettings" Target="webSettings.xml"/><Relationship Id="rId15" Type="http://schemas.openxmlformats.org/officeDocument/2006/relationships/hyperlink" Target="http://www.ncbi.nlm.nih.gov/pubmed?term=Dailey%20JW%5BAuthor%5D&amp;cauthor=true&amp;cauthor_uid=9178847" TargetMode="External"/><Relationship Id="rId23" Type="http://schemas.openxmlformats.org/officeDocument/2006/relationships/hyperlink" Target="http://www.ncbi.nlm.nih.gov/pubmed?term=%22van%20Merode%20T%22%5BAuthor%5D&amp;itool=EntrezSystem2.PEntrez.Pubmed.Pubmed_ResultsPanel.Pubmed_RVAbstract" TargetMode="External"/><Relationship Id="rId28" Type="http://schemas.openxmlformats.org/officeDocument/2006/relationships/hyperlink" Target="http://www.ncbi.nlm.nih.gov/pmc/articles/PMC2077351" TargetMode="External"/><Relationship Id="rId10" Type="http://schemas.openxmlformats.org/officeDocument/2006/relationships/hyperlink" Target="http://www.unboundmedicine.com/medline/?st=M&amp;author=Paris%20L" TargetMode="External"/><Relationship Id="rId19" Type="http://schemas.openxmlformats.org/officeDocument/2006/relationships/hyperlink" Target="http://www.ncbi.nlm.nih.gov/pubmed?term=Jobe%20PC%5BAuthor%5D&amp;cauthor=true&amp;cauthor_uid=917884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boundmedicine.com/medline/?st=M&amp;author=Chiodi%20F" TargetMode="External"/><Relationship Id="rId14" Type="http://schemas.openxmlformats.org/officeDocument/2006/relationships/hyperlink" Target="javascript:AL_get(this,%20'jour',%20'Ment%20Retard%20Dev%20Disabil%20Res%20Rev.');" TargetMode="External"/><Relationship Id="rId22" Type="http://schemas.openxmlformats.org/officeDocument/2006/relationships/hyperlink" Target="http://www.ncbi.nlm.nih.gov/pubmed?term=%22Kotsopoulos%20IA%22%5BAuthor%5D&amp;itool=EntrezSystem2.PEntrez.Pubmed.Pubmed_ResultsPanel.Pubmed_RVAbstract" TargetMode="External"/><Relationship Id="rId27" Type="http://schemas.openxmlformats.org/officeDocument/2006/relationships/hyperlink" Target="http://www.uptodate.com/contents/serotonin-syndrome/abstract/3"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Office_Excel_Worksheet1.xlsx"/><Relationship Id="rId2" Type="http://schemas.openxmlformats.org/officeDocument/2006/relationships/image" Target="../media/image1.jpeg"/><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chart>
    <c:plotArea>
      <c:layout>
        <c:manualLayout>
          <c:layoutTarget val="inner"/>
          <c:xMode val="edge"/>
          <c:yMode val="edge"/>
          <c:x val="0.11007462686567202"/>
          <c:y val="7.926829268292708E-2"/>
          <c:w val="0.87126865671641862"/>
          <c:h val="0.77134146341463794"/>
        </c:manualLayout>
      </c:layout>
      <c:barChart>
        <c:barDir val="col"/>
        <c:grouping val="clustered"/>
        <c:ser>
          <c:idx val="0"/>
          <c:order val="0"/>
          <c:spPr>
            <a:solidFill>
              <a:srgbClr val="9999FF"/>
            </a:solidFill>
            <a:ln w="12654">
              <a:solidFill>
                <a:srgbClr val="000000"/>
              </a:solidFill>
              <a:prstDash val="solid"/>
            </a:ln>
          </c:spPr>
          <c:dPt>
            <c:idx val="0"/>
            <c:spPr>
              <a:pattFill prst="solidDmnd">
                <a:fgClr>
                  <a:srgbClr val="FF0000"/>
                </a:fgClr>
                <a:bgClr>
                  <a:srgbClr val="FFFFFF"/>
                </a:bgClr>
              </a:pattFill>
              <a:ln w="12654">
                <a:solidFill>
                  <a:srgbClr val="000000"/>
                </a:solidFill>
                <a:prstDash val="solid"/>
              </a:ln>
            </c:spPr>
          </c:dPt>
          <c:dPt>
            <c:idx val="1"/>
            <c:spPr>
              <a:blipFill dpi="0" rotWithShape="0">
                <a:blip xmlns:r="http://schemas.openxmlformats.org/officeDocument/2006/relationships" r:embed="rId2"/>
                <a:srcRect/>
                <a:tile tx="0" ty="0" sx="100000" sy="100000" flip="none" algn="tl"/>
              </a:blipFill>
              <a:ln w="12654">
                <a:solidFill>
                  <a:srgbClr val="000000"/>
                </a:solidFill>
                <a:prstDash val="solid"/>
              </a:ln>
            </c:spPr>
          </c:dPt>
          <c:errBars>
            <c:errBarType val="both"/>
            <c:errValType val="cust"/>
            <c:plus>
              <c:numRef>
                <c:f>Sheet1!$U$22:$U$23</c:f>
                <c:numCache>
                  <c:formatCode>General</c:formatCode>
                  <c:ptCount val="2"/>
                  <c:pt idx="0">
                    <c:v>35.101000000000006</c:v>
                  </c:pt>
                  <c:pt idx="1">
                    <c:v>23.924999999999994</c:v>
                  </c:pt>
                </c:numCache>
              </c:numRef>
            </c:plus>
            <c:minus>
              <c:numRef>
                <c:f>Sheet1!$U$22:$U$23</c:f>
                <c:numCache>
                  <c:formatCode>General</c:formatCode>
                  <c:ptCount val="2"/>
                  <c:pt idx="0">
                    <c:v>35.101000000000006</c:v>
                  </c:pt>
                  <c:pt idx="1">
                    <c:v>23.924999999999994</c:v>
                  </c:pt>
                </c:numCache>
              </c:numRef>
            </c:minus>
            <c:spPr>
              <a:ln w="12654">
                <a:solidFill>
                  <a:srgbClr val="000000"/>
                </a:solidFill>
                <a:prstDash val="solid"/>
              </a:ln>
            </c:spPr>
          </c:errBars>
          <c:cat>
            <c:strRef>
              <c:f>Sheet1!$O$22:$O$23</c:f>
              <c:strCache>
                <c:ptCount val="2"/>
                <c:pt idx="0">
                  <c:v>Patients</c:v>
                </c:pt>
                <c:pt idx="1">
                  <c:v>Controls</c:v>
                </c:pt>
              </c:strCache>
            </c:strRef>
          </c:cat>
          <c:val>
            <c:numRef>
              <c:f>Sheet1!$S$22:$S$23</c:f>
              <c:numCache>
                <c:formatCode>General</c:formatCode>
                <c:ptCount val="2"/>
                <c:pt idx="0">
                  <c:v>47.141000000000005</c:v>
                </c:pt>
                <c:pt idx="1">
                  <c:v>52.5</c:v>
                </c:pt>
              </c:numCache>
            </c:numRef>
          </c:val>
        </c:ser>
        <c:axId val="72473984"/>
        <c:axId val="72729728"/>
      </c:barChart>
      <c:catAx>
        <c:axId val="72473984"/>
        <c:scaling>
          <c:orientation val="minMax"/>
        </c:scaling>
        <c:axPos val="b"/>
        <c:numFmt formatCode="General" sourceLinked="1"/>
        <c:tickLblPos val="nextTo"/>
        <c:spPr>
          <a:ln w="3164">
            <a:solidFill>
              <a:srgbClr val="000000"/>
            </a:solidFill>
            <a:prstDash val="solid"/>
          </a:ln>
        </c:spPr>
        <c:txPr>
          <a:bodyPr rot="0" vert="horz"/>
          <a:lstStyle/>
          <a:p>
            <a:pPr>
              <a:defRPr/>
            </a:pPr>
            <a:endParaRPr lang="ar-EG"/>
          </a:p>
        </c:txPr>
        <c:crossAx val="72729728"/>
        <c:crosses val="autoZero"/>
        <c:auto val="1"/>
        <c:lblAlgn val="ctr"/>
        <c:lblOffset val="100"/>
        <c:tickLblSkip val="1"/>
        <c:tickMarkSkip val="1"/>
      </c:catAx>
      <c:valAx>
        <c:axId val="72729728"/>
        <c:scaling>
          <c:orientation val="minMax"/>
        </c:scaling>
        <c:axPos val="l"/>
        <c:numFmt formatCode="0.0" sourceLinked="0"/>
        <c:tickLblPos val="nextTo"/>
        <c:spPr>
          <a:ln w="3164">
            <a:solidFill>
              <a:srgbClr val="000000"/>
            </a:solidFill>
            <a:prstDash val="solid"/>
          </a:ln>
        </c:spPr>
        <c:txPr>
          <a:bodyPr rot="0" vert="horz"/>
          <a:lstStyle/>
          <a:p>
            <a:pPr>
              <a:defRPr/>
            </a:pPr>
            <a:endParaRPr lang="ar-EG"/>
          </a:p>
        </c:txPr>
        <c:crossAx val="72473984"/>
        <c:crosses val="autoZero"/>
        <c:crossBetween val="between"/>
      </c:valAx>
      <c:spPr>
        <a:noFill/>
        <a:ln w="25375">
          <a:noFill/>
        </a:ln>
      </c:spPr>
    </c:plotArea>
    <c:plotVisOnly val="1"/>
    <c:dispBlanksAs val="gap"/>
  </c:chart>
  <c:spPr>
    <a:solidFill>
      <a:srgbClr val="FFFFFF"/>
    </a:solidFill>
    <a:ln w="25310">
      <a:solidFill>
        <a:srgbClr val="000000"/>
      </a:solidFill>
      <a:prstDash val="solid"/>
    </a:ln>
  </c:spPr>
  <c:txPr>
    <a:bodyPr/>
    <a:lstStyle/>
    <a:p>
      <a:pPr>
        <a:defRPr sz="1099" b="1" i="0" u="none" strike="noStrike" baseline="0">
          <a:solidFill>
            <a:srgbClr val="000000"/>
          </a:solidFill>
          <a:latin typeface="Arial"/>
          <a:ea typeface="Arial"/>
          <a:cs typeface="Arial"/>
        </a:defRPr>
      </a:pPr>
      <a:endParaRPr lang="ar-EG"/>
    </a:p>
  </c:txPr>
  <c:externalData r:id="rId3"/>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00BDA-DAA3-4053-BE6D-2B678110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26093</CharactersWithSpaces>
  <SharedDoc>false</SharedDoc>
  <HLinks>
    <vt:vector size="120" baseType="variant">
      <vt:variant>
        <vt:i4>2818106</vt:i4>
      </vt:variant>
      <vt:variant>
        <vt:i4>60</vt:i4>
      </vt:variant>
      <vt:variant>
        <vt:i4>0</vt:i4>
      </vt:variant>
      <vt:variant>
        <vt:i4>5</vt:i4>
      </vt:variant>
      <vt:variant>
        <vt:lpwstr>http://www.ncbi.nlm.nih.gov/pmc/articles/PMC2077351</vt:lpwstr>
      </vt:variant>
      <vt:variant>
        <vt:lpwstr/>
      </vt:variant>
      <vt:variant>
        <vt:i4>3801196</vt:i4>
      </vt:variant>
      <vt:variant>
        <vt:i4>57</vt:i4>
      </vt:variant>
      <vt:variant>
        <vt:i4>0</vt:i4>
      </vt:variant>
      <vt:variant>
        <vt:i4>5</vt:i4>
      </vt:variant>
      <vt:variant>
        <vt:lpwstr>http://www.uptodate.com/contents/serotonin-syndrome/abstract/3</vt:lpwstr>
      </vt:variant>
      <vt:variant>
        <vt:lpwstr/>
      </vt:variant>
      <vt:variant>
        <vt:i4>7274606</vt:i4>
      </vt:variant>
      <vt:variant>
        <vt:i4>54</vt:i4>
      </vt:variant>
      <vt:variant>
        <vt:i4>0</vt:i4>
      </vt:variant>
      <vt:variant>
        <vt:i4>5</vt:i4>
      </vt:variant>
      <vt:variant>
        <vt:lpwstr>http://www.ncbi.nlm.nih.gov/pubmed?term=%22Knottnerus%20JA%22%5BAuthor%5D&amp;itool=EntrezSystem2.PEntrez.Pubmed.Pubmed_ResultsPanel.Pubmed_RVAbstract</vt:lpwstr>
      </vt:variant>
      <vt:variant>
        <vt:lpwstr/>
      </vt:variant>
      <vt:variant>
        <vt:i4>5373962</vt:i4>
      </vt:variant>
      <vt:variant>
        <vt:i4>51</vt:i4>
      </vt:variant>
      <vt:variant>
        <vt:i4>0</vt:i4>
      </vt:variant>
      <vt:variant>
        <vt:i4>5</vt:i4>
      </vt:variant>
      <vt:variant>
        <vt:lpwstr>http://www.ncbi.nlm.nih.gov/pubmed?term=%22de%20Krom%20MC%22%5BAuthor%5D&amp;itool=EntrezSystem2.PEntrez.Pubmed.Pubmed_ResultsPanel.Pubmed_RVAbstract</vt:lpwstr>
      </vt:variant>
      <vt:variant>
        <vt:lpwstr/>
      </vt:variant>
      <vt:variant>
        <vt:i4>3735591</vt:i4>
      </vt:variant>
      <vt:variant>
        <vt:i4>48</vt:i4>
      </vt:variant>
      <vt:variant>
        <vt:i4>0</vt:i4>
      </vt:variant>
      <vt:variant>
        <vt:i4>5</vt:i4>
      </vt:variant>
      <vt:variant>
        <vt:lpwstr>http://www.ncbi.nlm.nih.gov/pubmed?term=%22Kessels%20FG%22%5BAuthor%5D&amp;itool=EntrezSystem2.PEntrez.Pubmed.Pubmed_ResultsPanel.Pubmed_RVAbstract</vt:lpwstr>
      </vt:variant>
      <vt:variant>
        <vt:lpwstr/>
      </vt:variant>
      <vt:variant>
        <vt:i4>2556018</vt:i4>
      </vt:variant>
      <vt:variant>
        <vt:i4>45</vt:i4>
      </vt:variant>
      <vt:variant>
        <vt:i4>0</vt:i4>
      </vt:variant>
      <vt:variant>
        <vt:i4>5</vt:i4>
      </vt:variant>
      <vt:variant>
        <vt:lpwstr>http://www.ncbi.nlm.nih.gov/pubmed?term=%22van%20Merode%20T%22%5BAuthor%5D&amp;itool=EntrezSystem2.PEntrez.Pubmed.Pubmed_ResultsPanel.Pubmed_RVAbstract</vt:lpwstr>
      </vt:variant>
      <vt:variant>
        <vt:lpwstr/>
      </vt:variant>
      <vt:variant>
        <vt:i4>3670061</vt:i4>
      </vt:variant>
      <vt:variant>
        <vt:i4>42</vt:i4>
      </vt:variant>
      <vt:variant>
        <vt:i4>0</vt:i4>
      </vt:variant>
      <vt:variant>
        <vt:i4>5</vt:i4>
      </vt:variant>
      <vt:variant>
        <vt:lpwstr>http://www.ncbi.nlm.nih.gov/pubmed?term=%22Kotsopoulos%20IA%22%5BAuthor%5D&amp;itool=EntrezSystem2.PEntrez.Pubmed.Pubmed_ResultsPanel.Pubmed_RVAbstract</vt:lpwstr>
      </vt:variant>
      <vt:variant>
        <vt:lpwstr/>
      </vt:variant>
      <vt:variant>
        <vt:i4>6619170</vt:i4>
      </vt:variant>
      <vt:variant>
        <vt:i4>39</vt:i4>
      </vt:variant>
      <vt:variant>
        <vt:i4>0</vt:i4>
      </vt:variant>
      <vt:variant>
        <vt:i4>5</vt:i4>
      </vt:variant>
      <vt:variant>
        <vt:lpwstr>http://onlinelibrary.wiley.com/doi/10.1111/epi.2010.51.issue-4/issuetoc</vt:lpwstr>
      </vt:variant>
      <vt:variant>
        <vt:lpwstr/>
      </vt:variant>
      <vt:variant>
        <vt:i4>1769478</vt:i4>
      </vt:variant>
      <vt:variant>
        <vt:i4>36</vt:i4>
      </vt:variant>
      <vt:variant>
        <vt:i4>0</vt:i4>
      </vt:variant>
      <vt:variant>
        <vt:i4>5</vt:i4>
      </vt:variant>
      <vt:variant>
        <vt:lpwstr>http://www.ncbi.nlm.nih.gov/pubmed/?term=Dailey+JW%2C+Reith+ME%2C+Yan+QS%2C+Li+MY%2C+Jobe+PC.+Anticonvulsant+doses+of+carbamazepine+increase</vt:lpwstr>
      </vt:variant>
      <vt:variant>
        <vt:lpwstr/>
      </vt:variant>
      <vt:variant>
        <vt:i4>3407897</vt:i4>
      </vt:variant>
      <vt:variant>
        <vt:i4>33</vt:i4>
      </vt:variant>
      <vt:variant>
        <vt:i4>0</vt:i4>
      </vt:variant>
      <vt:variant>
        <vt:i4>5</vt:i4>
      </vt:variant>
      <vt:variant>
        <vt:lpwstr>http://www.ncbi.nlm.nih.gov/pubmed?term=Jobe%20PC%5BAuthor%5D&amp;cauthor=true&amp;cauthor_uid=9178847</vt:lpwstr>
      </vt:variant>
      <vt:variant>
        <vt:lpwstr/>
      </vt:variant>
      <vt:variant>
        <vt:i4>4849767</vt:i4>
      </vt:variant>
      <vt:variant>
        <vt:i4>30</vt:i4>
      </vt:variant>
      <vt:variant>
        <vt:i4>0</vt:i4>
      </vt:variant>
      <vt:variant>
        <vt:i4>5</vt:i4>
      </vt:variant>
      <vt:variant>
        <vt:lpwstr>http://www.ncbi.nlm.nih.gov/pubmed?term=Li%20MY%5BAuthor%5D&amp;cauthor=true&amp;cauthor_uid=9178847</vt:lpwstr>
      </vt:variant>
      <vt:variant>
        <vt:lpwstr/>
      </vt:variant>
      <vt:variant>
        <vt:i4>6619162</vt:i4>
      </vt:variant>
      <vt:variant>
        <vt:i4>27</vt:i4>
      </vt:variant>
      <vt:variant>
        <vt:i4>0</vt:i4>
      </vt:variant>
      <vt:variant>
        <vt:i4>5</vt:i4>
      </vt:variant>
      <vt:variant>
        <vt:lpwstr>http://www.ncbi.nlm.nih.gov/pubmed?term=Yan%20QS%5BAuthor%5D&amp;cauthor=true&amp;cauthor_uid=9178847</vt:lpwstr>
      </vt:variant>
      <vt:variant>
        <vt:lpwstr/>
      </vt:variant>
      <vt:variant>
        <vt:i4>196706</vt:i4>
      </vt:variant>
      <vt:variant>
        <vt:i4>24</vt:i4>
      </vt:variant>
      <vt:variant>
        <vt:i4>0</vt:i4>
      </vt:variant>
      <vt:variant>
        <vt:i4>5</vt:i4>
      </vt:variant>
      <vt:variant>
        <vt:lpwstr>http://www.ncbi.nlm.nih.gov/pubmed?term=Reith%20ME%5BAuthor%5D&amp;cauthor=true&amp;cauthor_uid=9178847</vt:lpwstr>
      </vt:variant>
      <vt:variant>
        <vt:lpwstr/>
      </vt:variant>
      <vt:variant>
        <vt:i4>5242989</vt:i4>
      </vt:variant>
      <vt:variant>
        <vt:i4>21</vt:i4>
      </vt:variant>
      <vt:variant>
        <vt:i4>0</vt:i4>
      </vt:variant>
      <vt:variant>
        <vt:i4>5</vt:i4>
      </vt:variant>
      <vt:variant>
        <vt:lpwstr>http://www.ncbi.nlm.nih.gov/pubmed?term=Dailey%20JW%5BAuthor%5D&amp;cauthor=true&amp;cauthor_uid=9178847</vt:lpwstr>
      </vt:variant>
      <vt:variant>
        <vt:lpwstr/>
      </vt:variant>
      <vt:variant>
        <vt:i4>8323150</vt:i4>
      </vt:variant>
      <vt:variant>
        <vt:i4>18</vt:i4>
      </vt:variant>
      <vt:variant>
        <vt:i4>0</vt:i4>
      </vt:variant>
      <vt:variant>
        <vt:i4>5</vt:i4>
      </vt:variant>
      <vt:variant>
        <vt:lpwstr>javascript:AL_get(this, 'jour', 'Ment Retard Dev Disabil Res Rev.');</vt:lpwstr>
      </vt:variant>
      <vt:variant>
        <vt:lpwstr/>
      </vt:variant>
      <vt:variant>
        <vt:i4>4653136</vt:i4>
      </vt:variant>
      <vt:variant>
        <vt:i4>15</vt:i4>
      </vt:variant>
      <vt:variant>
        <vt:i4>0</vt:i4>
      </vt:variant>
      <vt:variant>
        <vt:i4>5</vt:i4>
      </vt:variant>
      <vt:variant>
        <vt:lpwstr>http://www.ncbi.nlm.nih.gov/pubmed?term=%22Cowan%20LD%22%5BAuthor%5D&amp;itool=EntrezSystem2.PEntrez.Pubmed.Pubmed_ResultsPanel.Pubmed_RVAbstract</vt:lpwstr>
      </vt:variant>
      <vt:variant>
        <vt:lpwstr/>
      </vt:variant>
      <vt:variant>
        <vt:i4>4980763</vt:i4>
      </vt:variant>
      <vt:variant>
        <vt:i4>12</vt:i4>
      </vt:variant>
      <vt:variant>
        <vt:i4>0</vt:i4>
      </vt:variant>
      <vt:variant>
        <vt:i4>5</vt:i4>
      </vt:variant>
      <vt:variant>
        <vt:lpwstr>http://www.unboundmedicine.com/medline/?st=M&amp;journal=Boll%20Soc%20Ital%20Biol%20Sper</vt:lpwstr>
      </vt:variant>
      <vt:variant>
        <vt:lpwstr/>
      </vt:variant>
      <vt:variant>
        <vt:i4>5767250</vt:i4>
      </vt:variant>
      <vt:variant>
        <vt:i4>9</vt:i4>
      </vt:variant>
      <vt:variant>
        <vt:i4>0</vt:i4>
      </vt:variant>
      <vt:variant>
        <vt:i4>5</vt:i4>
      </vt:variant>
      <vt:variant>
        <vt:lpwstr>http://www.unboundmedicine.com/medline/?st=M&amp;author=Casacchia%20M</vt:lpwstr>
      </vt:variant>
      <vt:variant>
        <vt:lpwstr/>
      </vt:variant>
      <vt:variant>
        <vt:i4>5898329</vt:i4>
      </vt:variant>
      <vt:variant>
        <vt:i4>6</vt:i4>
      </vt:variant>
      <vt:variant>
        <vt:i4>0</vt:i4>
      </vt:variant>
      <vt:variant>
        <vt:i4>5</vt:i4>
      </vt:variant>
      <vt:variant>
        <vt:lpwstr>http://www.unboundmedicine.com/medline/?st=M&amp;author=Paris%20L</vt:lpwstr>
      </vt:variant>
      <vt:variant>
        <vt:lpwstr/>
      </vt:variant>
      <vt:variant>
        <vt:i4>8192097</vt:i4>
      </vt:variant>
      <vt:variant>
        <vt:i4>3</vt:i4>
      </vt:variant>
      <vt:variant>
        <vt:i4>0</vt:i4>
      </vt:variant>
      <vt:variant>
        <vt:i4>5</vt:i4>
      </vt:variant>
      <vt:variant>
        <vt:lpwstr>http://www.unboundmedicine.com/medline/?st=M&amp;author=Chiodi%20F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dromar</dc:creator>
  <cp:lastModifiedBy>dromar</cp:lastModifiedBy>
  <cp:revision>9</cp:revision>
  <cp:lastPrinted>2013-05-06T14:03:00Z</cp:lastPrinted>
  <dcterms:created xsi:type="dcterms:W3CDTF">2013-05-06T13:54:00Z</dcterms:created>
  <dcterms:modified xsi:type="dcterms:W3CDTF">2013-05-06T14:21:00Z</dcterms:modified>
</cp:coreProperties>
</file>