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Evaluation of treatment of hereditary rickets in Egyptian children</w:t>
      </w:r>
    </w:p>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Ghada A. Otaify1, Mona Aglan1, Mona M. Ibrahim2, M. Elnashar3, Samia A. Temtamy1</w:t>
      </w:r>
    </w:p>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1Clinical Genetics and 2Biochemical Genetics Departments, National Research Centre, Cairo, Egypt</w:t>
      </w:r>
    </w:p>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3Medical Studies Department, Institute of Postgraduate Childhood Studies, Ain Shams University</w:t>
      </w:r>
    </w:p>
    <w:p w:rsidR="00C35717" w:rsidRPr="00366106" w:rsidRDefault="00C35717" w:rsidP="00366106">
      <w:pPr>
        <w:bidi/>
        <w:spacing w:after="0" w:line="360" w:lineRule="auto"/>
        <w:ind w:firstLine="425"/>
        <w:jc w:val="both"/>
        <w:rPr>
          <w:rFonts w:cs="Simplified Arabic"/>
          <w:szCs w:val="28"/>
          <w:rtl/>
          <w:lang/>
        </w:rPr>
      </w:pPr>
      <w:r w:rsidRPr="00366106">
        <w:rPr>
          <w:rFonts w:cs="Simplified Arabic"/>
          <w:szCs w:val="28"/>
          <w:rtl/>
          <w:lang/>
        </w:rPr>
        <w:t xml:space="preserve"> </w:t>
      </w:r>
      <w:r w:rsidRPr="00366106">
        <w:rPr>
          <w:rFonts w:cs="Simplified Arabic" w:hint="cs"/>
          <w:szCs w:val="28"/>
          <w:rtl/>
          <w:lang/>
        </w:rPr>
        <w:t>تقييم</w:t>
      </w:r>
      <w:r w:rsidRPr="00366106">
        <w:rPr>
          <w:rFonts w:cs="Simplified Arabic"/>
          <w:szCs w:val="28"/>
          <w:rtl/>
          <w:lang/>
        </w:rPr>
        <w:t xml:space="preserve"> </w:t>
      </w:r>
      <w:r w:rsidRPr="00366106">
        <w:rPr>
          <w:rFonts w:cs="Simplified Arabic" w:hint="cs"/>
          <w:szCs w:val="28"/>
          <w:rtl/>
          <w:lang/>
        </w:rPr>
        <w:t>معالجة</w:t>
      </w:r>
      <w:r w:rsidRPr="00366106">
        <w:rPr>
          <w:rFonts w:cs="Simplified Arabic"/>
          <w:szCs w:val="28"/>
          <w:rtl/>
          <w:lang/>
        </w:rPr>
        <w:t xml:space="preserve"> </w:t>
      </w:r>
      <w:r w:rsidRPr="00366106">
        <w:rPr>
          <w:rFonts w:cs="Simplified Arabic" w:hint="cs"/>
          <w:szCs w:val="28"/>
          <w:rtl/>
          <w:lang/>
        </w:rPr>
        <w:t>أمراض</w:t>
      </w:r>
      <w:r w:rsidRPr="00366106">
        <w:rPr>
          <w:rFonts w:cs="Simplified Arabic"/>
          <w:szCs w:val="28"/>
          <w:rtl/>
          <w:lang/>
        </w:rPr>
        <w:t xml:space="preserve"> </w:t>
      </w:r>
      <w:r w:rsidRPr="00366106">
        <w:rPr>
          <w:rFonts w:cs="Simplified Arabic" w:hint="cs"/>
          <w:szCs w:val="28"/>
          <w:rtl/>
          <w:lang/>
        </w:rPr>
        <w:t>لين</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الوراثية</w:t>
      </w:r>
      <w:r w:rsidRPr="00366106">
        <w:rPr>
          <w:rFonts w:cs="Simplified Arabic"/>
          <w:szCs w:val="28"/>
          <w:rtl/>
          <w:lang/>
        </w:rPr>
        <w:t xml:space="preserve"> </w:t>
      </w:r>
      <w:r w:rsidRPr="00366106">
        <w:rPr>
          <w:rFonts w:cs="Simplified Arabic" w:hint="cs"/>
          <w:szCs w:val="28"/>
          <w:rtl/>
          <w:lang/>
        </w:rPr>
        <w:t>فى</w:t>
      </w:r>
      <w:r w:rsidRPr="00366106">
        <w:rPr>
          <w:rFonts w:cs="Simplified Arabic"/>
          <w:szCs w:val="28"/>
          <w:rtl/>
          <w:lang/>
        </w:rPr>
        <w:t xml:space="preserve"> </w:t>
      </w:r>
      <w:r w:rsidRPr="00366106">
        <w:rPr>
          <w:rFonts w:cs="Simplified Arabic" w:hint="cs"/>
          <w:szCs w:val="28"/>
          <w:rtl/>
          <w:lang/>
        </w:rPr>
        <w:t>الأطفال</w:t>
      </w:r>
      <w:r w:rsidRPr="00366106">
        <w:rPr>
          <w:rFonts w:cs="Simplified Arabic"/>
          <w:szCs w:val="28"/>
          <w:rtl/>
          <w:lang/>
        </w:rPr>
        <w:t xml:space="preserve"> </w:t>
      </w:r>
      <w:r w:rsidRPr="00366106">
        <w:rPr>
          <w:rFonts w:cs="Simplified Arabic" w:hint="cs"/>
          <w:szCs w:val="28"/>
          <w:rtl/>
          <w:lang/>
        </w:rPr>
        <w:t>المصريين</w:t>
      </w:r>
    </w:p>
    <w:p w:rsidR="00C35717" w:rsidRPr="00366106" w:rsidRDefault="00C35717" w:rsidP="00366106">
      <w:pPr>
        <w:bidi/>
        <w:spacing w:after="0" w:line="360" w:lineRule="auto"/>
        <w:ind w:firstLine="425"/>
        <w:jc w:val="both"/>
        <w:rPr>
          <w:rFonts w:cs="Simplified Arabic"/>
          <w:szCs w:val="28"/>
          <w:rtl/>
          <w:lang/>
        </w:rPr>
      </w:pPr>
      <w:r w:rsidRPr="00366106">
        <w:rPr>
          <w:rFonts w:cs="Simplified Arabic" w:hint="cs"/>
          <w:szCs w:val="28"/>
          <w:rtl/>
          <w:lang/>
        </w:rPr>
        <w:t>المقدمة</w:t>
      </w:r>
      <w:r w:rsidRPr="00366106">
        <w:rPr>
          <w:rFonts w:cs="Simplified Arabic"/>
          <w:szCs w:val="28"/>
          <w:rtl/>
          <w:lang/>
        </w:rPr>
        <w:t>:</w:t>
      </w:r>
    </w:p>
    <w:p w:rsidR="00C35717" w:rsidRPr="00366106" w:rsidRDefault="00C35717" w:rsidP="00366106">
      <w:pPr>
        <w:bidi/>
        <w:spacing w:after="0" w:line="360" w:lineRule="auto"/>
        <w:ind w:firstLine="425"/>
        <w:jc w:val="both"/>
        <w:rPr>
          <w:rFonts w:cs="Simplified Arabic"/>
          <w:szCs w:val="28"/>
          <w:rtl/>
          <w:lang/>
        </w:rPr>
      </w:pPr>
      <w:r w:rsidRPr="00366106">
        <w:rPr>
          <w:rFonts w:cs="Simplified Arabic" w:hint="cs"/>
          <w:szCs w:val="28"/>
          <w:rtl/>
          <w:lang/>
        </w:rPr>
        <w:t>يشكل</w:t>
      </w:r>
      <w:r w:rsidRPr="00366106">
        <w:rPr>
          <w:rFonts w:cs="Simplified Arabic"/>
          <w:szCs w:val="28"/>
          <w:rtl/>
          <w:lang/>
        </w:rPr>
        <w:t xml:space="preserve"> </w:t>
      </w:r>
      <w:r w:rsidRPr="00366106">
        <w:rPr>
          <w:rFonts w:cs="Simplified Arabic" w:hint="cs"/>
          <w:szCs w:val="28"/>
          <w:rtl/>
          <w:lang/>
        </w:rPr>
        <w:t>العظم</w:t>
      </w:r>
      <w:r w:rsidRPr="00366106">
        <w:rPr>
          <w:rFonts w:cs="Simplified Arabic"/>
          <w:szCs w:val="28"/>
          <w:rtl/>
          <w:lang/>
        </w:rPr>
        <w:t xml:space="preserve"> </w:t>
      </w:r>
      <w:r w:rsidRPr="00366106">
        <w:rPr>
          <w:rFonts w:cs="Simplified Arabic" w:hint="cs"/>
          <w:szCs w:val="28"/>
          <w:rtl/>
          <w:lang/>
        </w:rPr>
        <w:t>الدعامة</w:t>
      </w:r>
      <w:r w:rsidRPr="00366106">
        <w:rPr>
          <w:rFonts w:cs="Simplified Arabic"/>
          <w:szCs w:val="28"/>
          <w:rtl/>
          <w:lang/>
        </w:rPr>
        <w:t xml:space="preserve"> </w:t>
      </w:r>
      <w:r w:rsidRPr="00366106">
        <w:rPr>
          <w:rFonts w:cs="Simplified Arabic" w:hint="cs"/>
          <w:szCs w:val="28"/>
          <w:rtl/>
          <w:lang/>
        </w:rPr>
        <w:t>الهيكلية</w:t>
      </w:r>
      <w:r w:rsidRPr="00366106">
        <w:rPr>
          <w:rFonts w:cs="Simplified Arabic"/>
          <w:szCs w:val="28"/>
          <w:rtl/>
          <w:lang/>
        </w:rPr>
        <w:t xml:space="preserve"> </w:t>
      </w:r>
      <w:r w:rsidRPr="00366106">
        <w:rPr>
          <w:rFonts w:cs="Simplified Arabic" w:hint="cs"/>
          <w:szCs w:val="28"/>
          <w:rtl/>
          <w:lang/>
        </w:rPr>
        <w:t>الداخلية</w:t>
      </w:r>
      <w:r w:rsidRPr="00366106">
        <w:rPr>
          <w:rFonts w:cs="Simplified Arabic"/>
          <w:szCs w:val="28"/>
          <w:rtl/>
          <w:lang/>
        </w:rPr>
        <w:t xml:space="preserve"> </w:t>
      </w:r>
      <w:r w:rsidRPr="00366106">
        <w:rPr>
          <w:rFonts w:cs="Simplified Arabic" w:hint="cs"/>
          <w:szCs w:val="28"/>
          <w:rtl/>
          <w:lang/>
        </w:rPr>
        <w:t>لجسم</w:t>
      </w:r>
      <w:r w:rsidRPr="00366106">
        <w:rPr>
          <w:rFonts w:cs="Simplified Arabic"/>
          <w:szCs w:val="28"/>
          <w:rtl/>
          <w:lang/>
        </w:rPr>
        <w:t xml:space="preserve"> </w:t>
      </w:r>
      <w:r w:rsidRPr="00366106">
        <w:rPr>
          <w:rFonts w:cs="Simplified Arabic" w:hint="cs"/>
          <w:szCs w:val="28"/>
          <w:rtl/>
          <w:lang/>
        </w:rPr>
        <w:t>الإنسان</w:t>
      </w:r>
      <w:r w:rsidRPr="00366106">
        <w:rPr>
          <w:rFonts w:cs="Simplified Arabic"/>
          <w:szCs w:val="28"/>
          <w:rtl/>
          <w:lang/>
        </w:rPr>
        <w:t xml:space="preserve"> </w:t>
      </w:r>
      <w:r w:rsidRPr="00366106">
        <w:rPr>
          <w:rFonts w:cs="Simplified Arabic" w:hint="cs"/>
          <w:szCs w:val="28"/>
          <w:rtl/>
          <w:lang/>
        </w:rPr>
        <w:t>ويتكون</w:t>
      </w:r>
      <w:r w:rsidRPr="00366106">
        <w:rPr>
          <w:rFonts w:cs="Simplified Arabic"/>
          <w:szCs w:val="28"/>
          <w:rtl/>
          <w:lang/>
        </w:rPr>
        <w:t xml:space="preserve"> </w:t>
      </w:r>
      <w:r w:rsidRPr="00366106">
        <w:rPr>
          <w:rFonts w:cs="Simplified Arabic" w:hint="cs"/>
          <w:szCs w:val="28"/>
          <w:rtl/>
          <w:lang/>
        </w:rPr>
        <w:t>من</w:t>
      </w:r>
      <w:r w:rsidRPr="00366106">
        <w:rPr>
          <w:rFonts w:cs="Simplified Arabic"/>
          <w:szCs w:val="28"/>
          <w:rtl/>
          <w:lang/>
        </w:rPr>
        <w:t xml:space="preserve"> </w:t>
      </w:r>
      <w:r w:rsidRPr="00366106">
        <w:rPr>
          <w:rFonts w:cs="Simplified Arabic" w:hint="cs"/>
          <w:szCs w:val="28"/>
          <w:rtl/>
          <w:lang/>
        </w:rPr>
        <w:t>بروتين</w:t>
      </w:r>
      <w:r w:rsidRPr="00366106">
        <w:rPr>
          <w:rFonts w:cs="Simplified Arabic"/>
          <w:szCs w:val="28"/>
          <w:rtl/>
          <w:lang/>
        </w:rPr>
        <w:t xml:space="preserve"> </w:t>
      </w:r>
      <w:r w:rsidRPr="00366106">
        <w:rPr>
          <w:rFonts w:cs="Simplified Arabic" w:hint="cs"/>
          <w:szCs w:val="28"/>
          <w:rtl/>
          <w:lang/>
        </w:rPr>
        <w:t>الكولاجين</w:t>
      </w:r>
      <w:r w:rsidRPr="00366106">
        <w:rPr>
          <w:rFonts w:cs="Simplified Arabic"/>
          <w:szCs w:val="28"/>
          <w:rtl/>
          <w:lang/>
        </w:rPr>
        <w:t xml:space="preserve"> </w:t>
      </w:r>
      <w:r w:rsidRPr="00366106">
        <w:rPr>
          <w:rFonts w:cs="Simplified Arabic" w:hint="cs"/>
          <w:szCs w:val="28"/>
          <w:rtl/>
          <w:lang/>
        </w:rPr>
        <w:t>الذى</w:t>
      </w:r>
      <w:r w:rsidRPr="00366106">
        <w:rPr>
          <w:rFonts w:cs="Simplified Arabic"/>
          <w:szCs w:val="28"/>
          <w:rtl/>
          <w:lang/>
        </w:rPr>
        <w:t xml:space="preserve"> </w:t>
      </w:r>
      <w:r w:rsidRPr="00366106">
        <w:rPr>
          <w:rFonts w:cs="Simplified Arabic" w:hint="cs"/>
          <w:szCs w:val="28"/>
          <w:rtl/>
          <w:lang/>
        </w:rPr>
        <w:t>يمد</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بالقوة</w:t>
      </w:r>
      <w:r w:rsidRPr="00366106">
        <w:rPr>
          <w:rFonts w:cs="Simplified Arabic"/>
          <w:szCs w:val="28"/>
          <w:rtl/>
          <w:lang/>
        </w:rPr>
        <w:t xml:space="preserve"> </w:t>
      </w:r>
      <w:r w:rsidRPr="00366106">
        <w:rPr>
          <w:rFonts w:cs="Simplified Arabic" w:hint="cs"/>
          <w:szCs w:val="28"/>
          <w:rtl/>
          <w:lang/>
        </w:rPr>
        <w:t>بالإضافة</w:t>
      </w:r>
      <w:r w:rsidRPr="00366106">
        <w:rPr>
          <w:rFonts w:cs="Simplified Arabic"/>
          <w:szCs w:val="28"/>
          <w:rtl/>
          <w:lang/>
        </w:rPr>
        <w:t xml:space="preserve"> </w:t>
      </w:r>
      <w:r w:rsidRPr="00366106">
        <w:rPr>
          <w:rFonts w:cs="Simplified Arabic" w:hint="cs"/>
          <w:szCs w:val="28"/>
          <w:rtl/>
          <w:lang/>
        </w:rPr>
        <w:t>الى</w:t>
      </w:r>
      <w:r w:rsidRPr="00366106">
        <w:rPr>
          <w:rFonts w:cs="Simplified Arabic"/>
          <w:szCs w:val="28"/>
          <w:rtl/>
          <w:lang/>
        </w:rPr>
        <w:t xml:space="preserve"> </w:t>
      </w:r>
      <w:r w:rsidRPr="00366106">
        <w:rPr>
          <w:rFonts w:cs="Simplified Arabic" w:hint="cs"/>
          <w:szCs w:val="28"/>
          <w:rtl/>
          <w:lang/>
        </w:rPr>
        <w:t>الكالسيوم</w:t>
      </w:r>
      <w:r w:rsidRPr="00366106">
        <w:rPr>
          <w:rFonts w:cs="Simplified Arabic"/>
          <w:szCs w:val="28"/>
          <w:rtl/>
          <w:lang/>
        </w:rPr>
        <w:t xml:space="preserve"> </w:t>
      </w:r>
      <w:r w:rsidRPr="00366106">
        <w:rPr>
          <w:rFonts w:cs="Simplified Arabic" w:hint="cs"/>
          <w:szCs w:val="28"/>
          <w:rtl/>
          <w:lang/>
        </w:rPr>
        <w:t>والفوسفات</w:t>
      </w:r>
      <w:r w:rsidRPr="00366106">
        <w:rPr>
          <w:rFonts w:cs="Simplified Arabic"/>
          <w:szCs w:val="28"/>
          <w:rtl/>
          <w:lang/>
        </w:rPr>
        <w:t xml:space="preserve"> </w:t>
      </w:r>
      <w:r w:rsidRPr="00366106">
        <w:rPr>
          <w:rFonts w:cs="Simplified Arabic" w:hint="cs"/>
          <w:szCs w:val="28"/>
          <w:rtl/>
          <w:lang/>
        </w:rPr>
        <w:t>الذى</w:t>
      </w:r>
      <w:r w:rsidRPr="00366106">
        <w:rPr>
          <w:rFonts w:cs="Simplified Arabic"/>
          <w:szCs w:val="28"/>
          <w:rtl/>
          <w:lang/>
        </w:rPr>
        <w:t xml:space="preserve"> </w:t>
      </w:r>
      <w:r w:rsidRPr="00366106">
        <w:rPr>
          <w:rFonts w:cs="Simplified Arabic" w:hint="cs"/>
          <w:szCs w:val="28"/>
          <w:rtl/>
          <w:lang/>
        </w:rPr>
        <w:t>يزيد</w:t>
      </w:r>
      <w:r w:rsidRPr="00366106">
        <w:rPr>
          <w:rFonts w:cs="Simplified Arabic"/>
          <w:szCs w:val="28"/>
          <w:rtl/>
          <w:lang/>
        </w:rPr>
        <w:t xml:space="preserve"> </w:t>
      </w:r>
      <w:r w:rsidRPr="00366106">
        <w:rPr>
          <w:rFonts w:cs="Simplified Arabic" w:hint="cs"/>
          <w:szCs w:val="28"/>
          <w:rtl/>
          <w:lang/>
        </w:rPr>
        <w:t>من</w:t>
      </w:r>
      <w:r w:rsidRPr="00366106">
        <w:rPr>
          <w:rFonts w:cs="Simplified Arabic"/>
          <w:szCs w:val="28"/>
          <w:rtl/>
          <w:lang/>
        </w:rPr>
        <w:t xml:space="preserve"> </w:t>
      </w:r>
      <w:r w:rsidRPr="00366106">
        <w:rPr>
          <w:rFonts w:cs="Simplified Arabic" w:hint="cs"/>
          <w:szCs w:val="28"/>
          <w:rtl/>
          <w:lang/>
        </w:rPr>
        <w:t>صلابة</w:t>
      </w:r>
      <w:r w:rsidRPr="00366106">
        <w:rPr>
          <w:rFonts w:cs="Simplified Arabic"/>
          <w:szCs w:val="28"/>
          <w:rtl/>
          <w:lang/>
        </w:rPr>
        <w:t xml:space="preserve"> </w:t>
      </w:r>
      <w:r w:rsidRPr="00366106">
        <w:rPr>
          <w:rFonts w:cs="Simplified Arabic" w:hint="cs"/>
          <w:szCs w:val="28"/>
          <w:rtl/>
          <w:lang/>
        </w:rPr>
        <w:t>النسيج</w:t>
      </w:r>
      <w:r w:rsidRPr="00366106">
        <w:rPr>
          <w:rFonts w:cs="Simplified Arabic"/>
          <w:szCs w:val="28"/>
          <w:rtl/>
          <w:lang/>
        </w:rPr>
        <w:t xml:space="preserve"> </w:t>
      </w:r>
      <w:r w:rsidRPr="00366106">
        <w:rPr>
          <w:rFonts w:cs="Simplified Arabic" w:hint="cs"/>
          <w:szCs w:val="28"/>
          <w:rtl/>
          <w:lang/>
        </w:rPr>
        <w:t>العظمي</w:t>
      </w:r>
      <w:r w:rsidRPr="00366106">
        <w:rPr>
          <w:rFonts w:cs="Simplified Arabic"/>
          <w:szCs w:val="28"/>
          <w:lang/>
        </w:rPr>
        <w:t>.</w:t>
      </w:r>
    </w:p>
    <w:p w:rsidR="00C35717" w:rsidRPr="00366106" w:rsidRDefault="00C35717" w:rsidP="00366106">
      <w:pPr>
        <w:bidi/>
        <w:spacing w:after="0" w:line="360" w:lineRule="auto"/>
        <w:ind w:firstLine="425"/>
        <w:jc w:val="both"/>
        <w:rPr>
          <w:rFonts w:cs="Simplified Arabic"/>
          <w:szCs w:val="28"/>
          <w:rtl/>
          <w:lang/>
        </w:rPr>
      </w:pPr>
      <w:r w:rsidRPr="00366106">
        <w:rPr>
          <w:rFonts w:cs="Simplified Arabic" w:hint="cs"/>
          <w:szCs w:val="28"/>
          <w:rtl/>
          <w:lang/>
        </w:rPr>
        <w:t>ينظم</w:t>
      </w:r>
      <w:r w:rsidRPr="00366106">
        <w:rPr>
          <w:rFonts w:cs="Simplified Arabic"/>
          <w:szCs w:val="28"/>
          <w:rtl/>
          <w:lang/>
        </w:rPr>
        <w:t xml:space="preserve"> </w:t>
      </w:r>
      <w:r w:rsidRPr="00366106">
        <w:rPr>
          <w:rFonts w:cs="Simplified Arabic" w:hint="cs"/>
          <w:szCs w:val="28"/>
          <w:rtl/>
          <w:lang/>
        </w:rPr>
        <w:t>عملية</w:t>
      </w:r>
      <w:r w:rsidRPr="00366106">
        <w:rPr>
          <w:rFonts w:cs="Simplified Arabic"/>
          <w:szCs w:val="28"/>
          <w:rtl/>
          <w:lang/>
        </w:rPr>
        <w:t xml:space="preserve"> </w:t>
      </w:r>
      <w:r w:rsidRPr="00366106">
        <w:rPr>
          <w:rFonts w:cs="Simplified Arabic" w:hint="cs"/>
          <w:szCs w:val="28"/>
          <w:rtl/>
          <w:lang/>
        </w:rPr>
        <w:t>ترسيب</w:t>
      </w:r>
      <w:r w:rsidRPr="00366106">
        <w:rPr>
          <w:rFonts w:cs="Simplified Arabic"/>
          <w:szCs w:val="28"/>
          <w:rtl/>
          <w:lang/>
        </w:rPr>
        <w:t xml:space="preserve"> </w:t>
      </w:r>
      <w:r w:rsidRPr="00366106">
        <w:rPr>
          <w:rFonts w:cs="Simplified Arabic" w:hint="cs"/>
          <w:szCs w:val="28"/>
          <w:rtl/>
          <w:lang/>
        </w:rPr>
        <w:t>الكالسيوم</w:t>
      </w:r>
      <w:r w:rsidRPr="00366106">
        <w:rPr>
          <w:rFonts w:cs="Simplified Arabic"/>
          <w:szCs w:val="28"/>
          <w:rtl/>
          <w:lang/>
        </w:rPr>
        <w:t xml:space="preserve"> </w:t>
      </w:r>
      <w:r w:rsidRPr="00366106">
        <w:rPr>
          <w:rFonts w:cs="Simplified Arabic" w:hint="cs"/>
          <w:szCs w:val="28"/>
          <w:rtl/>
          <w:lang/>
        </w:rPr>
        <w:t>بالعظام</w:t>
      </w:r>
      <w:r w:rsidRPr="00366106">
        <w:rPr>
          <w:rFonts w:cs="Simplified Arabic"/>
          <w:szCs w:val="28"/>
          <w:rtl/>
          <w:lang/>
        </w:rPr>
        <w:t xml:space="preserve"> </w:t>
      </w:r>
      <w:r w:rsidRPr="00366106">
        <w:rPr>
          <w:rFonts w:cs="Simplified Arabic" w:hint="cs"/>
          <w:szCs w:val="28"/>
          <w:rtl/>
          <w:lang/>
        </w:rPr>
        <w:t>أو</w:t>
      </w:r>
      <w:r w:rsidRPr="00366106">
        <w:rPr>
          <w:rFonts w:cs="Simplified Arabic"/>
          <w:szCs w:val="28"/>
          <w:rtl/>
          <w:lang/>
        </w:rPr>
        <w:t xml:space="preserve"> </w:t>
      </w:r>
      <w:r w:rsidRPr="00366106">
        <w:rPr>
          <w:rFonts w:cs="Simplified Arabic" w:hint="cs"/>
          <w:szCs w:val="28"/>
          <w:rtl/>
          <w:lang/>
        </w:rPr>
        <w:t>انطلاقه</w:t>
      </w:r>
      <w:r w:rsidRPr="00366106">
        <w:rPr>
          <w:rFonts w:cs="Simplified Arabic"/>
          <w:szCs w:val="28"/>
          <w:rtl/>
          <w:lang/>
        </w:rPr>
        <w:t xml:space="preserve"> </w:t>
      </w:r>
      <w:r w:rsidRPr="00366106">
        <w:rPr>
          <w:rFonts w:cs="Simplified Arabic" w:hint="cs"/>
          <w:szCs w:val="28"/>
          <w:rtl/>
          <w:lang/>
        </w:rPr>
        <w:t>بالدم</w:t>
      </w:r>
      <w:r w:rsidRPr="00366106">
        <w:rPr>
          <w:rFonts w:cs="Simplified Arabic"/>
          <w:szCs w:val="28"/>
          <w:rtl/>
          <w:lang/>
        </w:rPr>
        <w:t xml:space="preserve"> </w:t>
      </w:r>
      <w:r w:rsidRPr="00366106">
        <w:rPr>
          <w:rFonts w:cs="Simplified Arabic" w:hint="cs"/>
          <w:szCs w:val="28"/>
          <w:rtl/>
          <w:lang/>
        </w:rPr>
        <w:t>النشاط</w:t>
      </w:r>
      <w:r w:rsidRPr="00366106">
        <w:rPr>
          <w:rFonts w:cs="Simplified Arabic"/>
          <w:szCs w:val="28"/>
          <w:rtl/>
          <w:lang/>
        </w:rPr>
        <w:t xml:space="preserve"> </w:t>
      </w:r>
      <w:r w:rsidRPr="00366106">
        <w:rPr>
          <w:rFonts w:cs="Simplified Arabic" w:hint="cs"/>
          <w:szCs w:val="28"/>
          <w:rtl/>
          <w:lang/>
        </w:rPr>
        <w:t>الهورموني</w:t>
      </w:r>
      <w:r w:rsidRPr="00366106">
        <w:rPr>
          <w:rFonts w:cs="Simplified Arabic"/>
          <w:szCs w:val="28"/>
          <w:rtl/>
          <w:lang/>
        </w:rPr>
        <w:t xml:space="preserve"> </w:t>
      </w:r>
      <w:r w:rsidRPr="00366106">
        <w:rPr>
          <w:rFonts w:cs="Simplified Arabic" w:hint="cs"/>
          <w:szCs w:val="28"/>
          <w:rtl/>
          <w:lang/>
        </w:rPr>
        <w:t>والفيتامينات</w:t>
      </w:r>
      <w:r w:rsidRPr="00366106">
        <w:rPr>
          <w:rFonts w:cs="Simplified Arabic"/>
          <w:szCs w:val="28"/>
          <w:rtl/>
          <w:lang/>
        </w:rPr>
        <w:t xml:space="preserve"> </w:t>
      </w:r>
      <w:r w:rsidRPr="00366106">
        <w:rPr>
          <w:rFonts w:cs="Simplified Arabic" w:hint="cs"/>
          <w:szCs w:val="28"/>
          <w:rtl/>
          <w:lang/>
        </w:rPr>
        <w:t>وحاجة</w:t>
      </w:r>
      <w:r w:rsidRPr="00366106">
        <w:rPr>
          <w:rFonts w:cs="Simplified Arabic"/>
          <w:szCs w:val="28"/>
          <w:rtl/>
          <w:lang/>
        </w:rPr>
        <w:t xml:space="preserve"> </w:t>
      </w:r>
      <w:r w:rsidRPr="00366106">
        <w:rPr>
          <w:rFonts w:cs="Simplified Arabic" w:hint="cs"/>
          <w:szCs w:val="28"/>
          <w:rtl/>
          <w:lang/>
        </w:rPr>
        <w:t>الجسم</w:t>
      </w:r>
      <w:r w:rsidRPr="00366106">
        <w:rPr>
          <w:rFonts w:cs="Simplified Arabic"/>
          <w:szCs w:val="28"/>
          <w:rtl/>
          <w:lang/>
        </w:rPr>
        <w:t xml:space="preserve"> </w:t>
      </w:r>
      <w:r w:rsidRPr="00366106">
        <w:rPr>
          <w:rFonts w:cs="Simplified Arabic" w:hint="cs"/>
          <w:szCs w:val="28"/>
          <w:rtl/>
          <w:lang/>
        </w:rPr>
        <w:t>للكالسيوم</w:t>
      </w:r>
      <w:r w:rsidRPr="00366106">
        <w:rPr>
          <w:rFonts w:cs="Simplified Arabic"/>
          <w:szCs w:val="28"/>
          <w:rtl/>
          <w:lang/>
        </w:rPr>
        <w:t xml:space="preserve"> </w:t>
      </w:r>
      <w:r w:rsidRPr="00366106">
        <w:rPr>
          <w:rFonts w:cs="Simplified Arabic" w:hint="cs"/>
          <w:szCs w:val="28"/>
          <w:rtl/>
          <w:lang/>
        </w:rPr>
        <w:t>سواء</w:t>
      </w:r>
      <w:r w:rsidRPr="00366106">
        <w:rPr>
          <w:rFonts w:cs="Simplified Arabic"/>
          <w:szCs w:val="28"/>
          <w:rtl/>
          <w:lang/>
        </w:rPr>
        <w:t xml:space="preserve"> </w:t>
      </w:r>
      <w:r w:rsidRPr="00366106">
        <w:rPr>
          <w:rFonts w:cs="Simplified Arabic" w:hint="cs"/>
          <w:szCs w:val="28"/>
          <w:rtl/>
          <w:lang/>
        </w:rPr>
        <w:t>بالدم</w:t>
      </w:r>
      <w:r w:rsidRPr="00366106">
        <w:rPr>
          <w:rFonts w:cs="Simplified Arabic"/>
          <w:szCs w:val="28"/>
          <w:rtl/>
          <w:lang/>
        </w:rPr>
        <w:t xml:space="preserve"> </w:t>
      </w:r>
      <w:r w:rsidRPr="00366106">
        <w:rPr>
          <w:rFonts w:cs="Simplified Arabic" w:hint="cs"/>
          <w:szCs w:val="28"/>
          <w:rtl/>
          <w:lang/>
        </w:rPr>
        <w:t>أو</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 </w:t>
      </w:r>
      <w:r w:rsidRPr="00366106">
        <w:rPr>
          <w:rFonts w:cs="Simplified Arabic" w:hint="cs"/>
          <w:szCs w:val="28"/>
          <w:rtl/>
          <w:lang/>
        </w:rPr>
        <w:t>ويلعب</w:t>
      </w:r>
      <w:r w:rsidRPr="00366106">
        <w:rPr>
          <w:rFonts w:cs="Simplified Arabic"/>
          <w:szCs w:val="28"/>
          <w:rtl/>
          <w:lang/>
        </w:rPr>
        <w:t xml:space="preserve"> </w:t>
      </w:r>
      <w:r w:rsidRPr="00366106">
        <w:rPr>
          <w:rFonts w:cs="Simplified Arabic" w:hint="cs"/>
          <w:szCs w:val="28"/>
          <w:rtl/>
          <w:lang/>
        </w:rPr>
        <w:t>فيتامين</w:t>
      </w:r>
      <w:r w:rsidRPr="00366106">
        <w:rPr>
          <w:rFonts w:cs="Simplified Arabic"/>
          <w:szCs w:val="28"/>
          <w:rtl/>
          <w:lang/>
        </w:rPr>
        <w:t xml:space="preserve"> "</w:t>
      </w:r>
      <w:r w:rsidRPr="00366106">
        <w:rPr>
          <w:rFonts w:cs="Simplified Arabic" w:hint="cs"/>
          <w:szCs w:val="28"/>
          <w:rtl/>
          <w:lang/>
        </w:rPr>
        <w:t>د</w:t>
      </w:r>
      <w:r w:rsidRPr="00366106">
        <w:rPr>
          <w:rFonts w:cs="Simplified Arabic"/>
          <w:szCs w:val="28"/>
          <w:rtl/>
          <w:lang/>
        </w:rPr>
        <w:t xml:space="preserve">" </w:t>
      </w:r>
      <w:r w:rsidRPr="00366106">
        <w:rPr>
          <w:rFonts w:cs="Simplified Arabic" w:hint="cs"/>
          <w:szCs w:val="28"/>
          <w:rtl/>
          <w:lang/>
        </w:rPr>
        <w:t>دورا</w:t>
      </w:r>
      <w:r w:rsidRPr="00366106">
        <w:rPr>
          <w:rFonts w:cs="Simplified Arabic"/>
          <w:szCs w:val="28"/>
          <w:rtl/>
          <w:lang/>
        </w:rPr>
        <w:t xml:space="preserve"> </w:t>
      </w:r>
      <w:r w:rsidRPr="00366106">
        <w:rPr>
          <w:rFonts w:cs="Simplified Arabic" w:hint="cs"/>
          <w:szCs w:val="28"/>
          <w:rtl/>
          <w:lang/>
        </w:rPr>
        <w:t>هاما</w:t>
      </w:r>
      <w:r w:rsidRPr="00366106">
        <w:rPr>
          <w:rFonts w:cs="Simplified Arabic"/>
          <w:szCs w:val="28"/>
          <w:rtl/>
          <w:lang/>
        </w:rPr>
        <w:t xml:space="preserve"> </w:t>
      </w:r>
      <w:r w:rsidRPr="00366106">
        <w:rPr>
          <w:rFonts w:cs="Simplified Arabic" w:hint="cs"/>
          <w:szCs w:val="28"/>
          <w:rtl/>
          <w:lang/>
        </w:rPr>
        <w:t>في</w:t>
      </w:r>
      <w:r w:rsidRPr="00366106">
        <w:rPr>
          <w:rFonts w:cs="Simplified Arabic"/>
          <w:szCs w:val="28"/>
          <w:rtl/>
          <w:lang/>
        </w:rPr>
        <w:t xml:space="preserve"> </w:t>
      </w:r>
      <w:r w:rsidRPr="00366106">
        <w:rPr>
          <w:rFonts w:cs="Simplified Arabic" w:hint="cs"/>
          <w:szCs w:val="28"/>
          <w:rtl/>
          <w:lang/>
        </w:rPr>
        <w:t>امتصاص</w:t>
      </w:r>
      <w:r w:rsidRPr="00366106">
        <w:rPr>
          <w:rFonts w:cs="Simplified Arabic"/>
          <w:szCs w:val="28"/>
          <w:rtl/>
          <w:lang/>
        </w:rPr>
        <w:t xml:space="preserve"> </w:t>
      </w:r>
      <w:r w:rsidRPr="00366106">
        <w:rPr>
          <w:rFonts w:cs="Simplified Arabic" w:hint="cs"/>
          <w:szCs w:val="28"/>
          <w:rtl/>
          <w:lang/>
        </w:rPr>
        <w:t>الكالسيوم</w:t>
      </w:r>
      <w:r w:rsidRPr="00366106">
        <w:rPr>
          <w:rFonts w:cs="Simplified Arabic"/>
          <w:szCs w:val="28"/>
          <w:rtl/>
          <w:lang/>
        </w:rPr>
        <w:t xml:space="preserve"> </w:t>
      </w:r>
      <w:r w:rsidRPr="00366106">
        <w:rPr>
          <w:rFonts w:cs="Simplified Arabic" w:hint="cs"/>
          <w:szCs w:val="28"/>
          <w:rtl/>
          <w:lang/>
        </w:rPr>
        <w:t>في</w:t>
      </w:r>
      <w:r w:rsidRPr="00366106">
        <w:rPr>
          <w:rFonts w:cs="Simplified Arabic"/>
          <w:szCs w:val="28"/>
          <w:rtl/>
          <w:lang/>
        </w:rPr>
        <w:t xml:space="preserve"> </w:t>
      </w:r>
      <w:r w:rsidRPr="00366106">
        <w:rPr>
          <w:rFonts w:cs="Simplified Arabic" w:hint="cs"/>
          <w:szCs w:val="28"/>
          <w:rtl/>
          <w:lang/>
        </w:rPr>
        <w:t>الجهاز</w:t>
      </w:r>
      <w:r w:rsidRPr="00366106">
        <w:rPr>
          <w:rFonts w:cs="Simplified Arabic"/>
          <w:szCs w:val="28"/>
          <w:rtl/>
          <w:lang/>
        </w:rPr>
        <w:t xml:space="preserve"> </w:t>
      </w:r>
      <w:r w:rsidRPr="00366106">
        <w:rPr>
          <w:rFonts w:cs="Simplified Arabic" w:hint="cs"/>
          <w:szCs w:val="28"/>
          <w:rtl/>
          <w:lang/>
        </w:rPr>
        <w:t>الهضمي</w:t>
      </w:r>
      <w:r w:rsidRPr="00366106">
        <w:rPr>
          <w:rFonts w:cs="Simplified Arabic"/>
          <w:szCs w:val="28"/>
          <w:rtl/>
          <w:lang/>
        </w:rPr>
        <w:t xml:space="preserve"> </w:t>
      </w:r>
      <w:r w:rsidRPr="00366106">
        <w:rPr>
          <w:rFonts w:cs="Simplified Arabic" w:hint="cs"/>
          <w:szCs w:val="28"/>
          <w:rtl/>
          <w:lang/>
        </w:rPr>
        <w:t>والكلي</w:t>
      </w:r>
      <w:r w:rsidRPr="00366106">
        <w:rPr>
          <w:rFonts w:cs="Simplified Arabic"/>
          <w:szCs w:val="28"/>
          <w:rtl/>
          <w:lang/>
        </w:rPr>
        <w:t xml:space="preserve"> </w:t>
      </w:r>
      <w:r w:rsidRPr="00366106">
        <w:rPr>
          <w:rFonts w:cs="Simplified Arabic" w:hint="cs"/>
          <w:szCs w:val="28"/>
          <w:rtl/>
          <w:lang/>
        </w:rPr>
        <w:t>وحمله</w:t>
      </w:r>
      <w:r w:rsidRPr="00366106">
        <w:rPr>
          <w:rFonts w:cs="Simplified Arabic"/>
          <w:szCs w:val="28"/>
          <w:rtl/>
          <w:lang/>
        </w:rPr>
        <w:t xml:space="preserve"> </w:t>
      </w:r>
      <w:r w:rsidRPr="00366106">
        <w:rPr>
          <w:rFonts w:cs="Simplified Arabic" w:hint="cs"/>
          <w:szCs w:val="28"/>
          <w:rtl/>
          <w:lang/>
        </w:rPr>
        <w:t>بالدم</w:t>
      </w:r>
      <w:r w:rsidRPr="00366106">
        <w:rPr>
          <w:rFonts w:cs="Simplified Arabic"/>
          <w:szCs w:val="28"/>
          <w:rtl/>
          <w:lang/>
        </w:rPr>
        <w:t xml:space="preserve">. </w:t>
      </w:r>
      <w:r w:rsidRPr="00366106">
        <w:rPr>
          <w:rFonts w:cs="Simplified Arabic" w:hint="cs"/>
          <w:szCs w:val="28"/>
          <w:rtl/>
          <w:lang/>
        </w:rPr>
        <w:t>وتعتبر</w:t>
      </w:r>
      <w:r w:rsidRPr="00366106">
        <w:rPr>
          <w:rFonts w:cs="Simplified Arabic"/>
          <w:szCs w:val="28"/>
          <w:rtl/>
          <w:lang/>
        </w:rPr>
        <w:t xml:space="preserve"> </w:t>
      </w:r>
      <w:r w:rsidRPr="00366106">
        <w:rPr>
          <w:rFonts w:cs="Simplified Arabic" w:hint="cs"/>
          <w:szCs w:val="28"/>
          <w:rtl/>
          <w:lang/>
        </w:rPr>
        <w:t>أمراض</w:t>
      </w:r>
      <w:r w:rsidRPr="00366106">
        <w:rPr>
          <w:rFonts w:cs="Simplified Arabic"/>
          <w:szCs w:val="28"/>
          <w:rtl/>
          <w:lang/>
        </w:rPr>
        <w:t xml:space="preserve"> </w:t>
      </w:r>
      <w:r w:rsidRPr="00366106">
        <w:rPr>
          <w:rFonts w:cs="Simplified Arabic" w:hint="cs"/>
          <w:szCs w:val="28"/>
          <w:rtl/>
          <w:lang/>
        </w:rPr>
        <w:t>لين</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الوراثية</w:t>
      </w:r>
      <w:r w:rsidRPr="00366106">
        <w:rPr>
          <w:rFonts w:cs="Simplified Arabic"/>
          <w:szCs w:val="28"/>
          <w:rtl/>
          <w:lang/>
        </w:rPr>
        <w:t xml:space="preserve"> </w:t>
      </w:r>
      <w:r w:rsidRPr="00366106">
        <w:rPr>
          <w:rFonts w:cs="Simplified Arabic" w:hint="cs"/>
          <w:szCs w:val="28"/>
          <w:rtl/>
          <w:lang/>
        </w:rPr>
        <w:t>أحد</w:t>
      </w:r>
      <w:r w:rsidRPr="00366106">
        <w:rPr>
          <w:rFonts w:cs="Simplified Arabic"/>
          <w:szCs w:val="28"/>
          <w:rtl/>
          <w:lang/>
        </w:rPr>
        <w:t xml:space="preserve"> </w:t>
      </w:r>
      <w:r w:rsidRPr="00366106">
        <w:rPr>
          <w:rFonts w:cs="Simplified Arabic" w:hint="cs"/>
          <w:szCs w:val="28"/>
          <w:rtl/>
          <w:lang/>
        </w:rPr>
        <w:t>أهم</w:t>
      </w:r>
      <w:r w:rsidRPr="00366106">
        <w:rPr>
          <w:rFonts w:cs="Simplified Arabic"/>
          <w:szCs w:val="28"/>
          <w:rtl/>
          <w:lang/>
        </w:rPr>
        <w:t xml:space="preserve"> </w:t>
      </w:r>
      <w:r w:rsidRPr="00366106">
        <w:rPr>
          <w:rFonts w:cs="Simplified Arabic" w:hint="cs"/>
          <w:szCs w:val="28"/>
          <w:rtl/>
          <w:lang/>
        </w:rPr>
        <w:t>اضطرابات</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الأيضية</w:t>
      </w:r>
      <w:r w:rsidRPr="00366106">
        <w:rPr>
          <w:rFonts w:cs="Simplified Arabic"/>
          <w:szCs w:val="28"/>
          <w:rtl/>
          <w:lang/>
        </w:rPr>
        <w:t xml:space="preserve"> </w:t>
      </w:r>
      <w:r w:rsidRPr="00366106">
        <w:rPr>
          <w:rFonts w:cs="Simplified Arabic" w:hint="cs"/>
          <w:szCs w:val="28"/>
          <w:rtl/>
          <w:lang/>
        </w:rPr>
        <w:t>الناتجة</w:t>
      </w:r>
      <w:r w:rsidRPr="00366106">
        <w:rPr>
          <w:rFonts w:cs="Simplified Arabic"/>
          <w:szCs w:val="28"/>
          <w:rtl/>
          <w:lang/>
        </w:rPr>
        <w:t xml:space="preserve"> </w:t>
      </w:r>
      <w:r w:rsidRPr="00366106">
        <w:rPr>
          <w:rFonts w:cs="Simplified Arabic" w:hint="cs"/>
          <w:szCs w:val="28"/>
          <w:rtl/>
          <w:lang/>
        </w:rPr>
        <w:t>عن</w:t>
      </w:r>
      <w:r w:rsidRPr="00366106">
        <w:rPr>
          <w:rFonts w:cs="Simplified Arabic"/>
          <w:szCs w:val="28"/>
          <w:rtl/>
          <w:lang/>
        </w:rPr>
        <w:t xml:space="preserve"> </w:t>
      </w:r>
      <w:r w:rsidRPr="00366106">
        <w:rPr>
          <w:rFonts w:cs="Simplified Arabic" w:hint="cs"/>
          <w:szCs w:val="28"/>
          <w:rtl/>
          <w:lang/>
        </w:rPr>
        <w:t>نقص</w:t>
      </w:r>
      <w:r w:rsidRPr="00366106">
        <w:rPr>
          <w:rFonts w:cs="Simplified Arabic"/>
          <w:szCs w:val="28"/>
          <w:rtl/>
          <w:lang/>
        </w:rPr>
        <w:t xml:space="preserve"> </w:t>
      </w:r>
      <w:r w:rsidRPr="00366106">
        <w:rPr>
          <w:rFonts w:cs="Simplified Arabic" w:hint="cs"/>
          <w:szCs w:val="28"/>
          <w:rtl/>
          <w:lang/>
        </w:rPr>
        <w:t>ترسيب</w:t>
      </w:r>
      <w:r w:rsidRPr="00366106">
        <w:rPr>
          <w:rFonts w:cs="Simplified Arabic"/>
          <w:szCs w:val="28"/>
          <w:rtl/>
          <w:lang/>
        </w:rPr>
        <w:t xml:space="preserve"> </w:t>
      </w:r>
      <w:r w:rsidRPr="00366106">
        <w:rPr>
          <w:rFonts w:cs="Simplified Arabic" w:hint="cs"/>
          <w:szCs w:val="28"/>
          <w:rtl/>
          <w:lang/>
        </w:rPr>
        <w:t>الكالسيوم</w:t>
      </w:r>
      <w:r w:rsidRPr="00366106">
        <w:rPr>
          <w:rFonts w:cs="Simplified Arabic"/>
          <w:szCs w:val="28"/>
          <w:rtl/>
          <w:lang/>
        </w:rPr>
        <w:t xml:space="preserve"> </w:t>
      </w:r>
      <w:r w:rsidRPr="00366106">
        <w:rPr>
          <w:rFonts w:cs="Simplified Arabic" w:hint="cs"/>
          <w:szCs w:val="28"/>
          <w:rtl/>
          <w:lang/>
        </w:rPr>
        <w:t>والفوسفات</w:t>
      </w:r>
      <w:r w:rsidRPr="00366106">
        <w:rPr>
          <w:rFonts w:cs="Simplified Arabic"/>
          <w:szCs w:val="28"/>
          <w:rtl/>
          <w:lang/>
        </w:rPr>
        <w:t xml:space="preserve"> </w:t>
      </w:r>
      <w:r w:rsidRPr="00366106">
        <w:rPr>
          <w:rFonts w:cs="Simplified Arabic" w:hint="cs"/>
          <w:szCs w:val="28"/>
          <w:rtl/>
          <w:lang/>
        </w:rPr>
        <w:t>بالعظام</w:t>
      </w:r>
      <w:r w:rsidRPr="00366106">
        <w:rPr>
          <w:rFonts w:cs="Simplified Arabic"/>
          <w:szCs w:val="28"/>
          <w:rtl/>
          <w:lang/>
        </w:rPr>
        <w:t xml:space="preserve"> </w:t>
      </w:r>
      <w:r w:rsidRPr="00366106">
        <w:rPr>
          <w:rFonts w:cs="Simplified Arabic" w:hint="cs"/>
          <w:szCs w:val="28"/>
          <w:rtl/>
          <w:lang/>
        </w:rPr>
        <w:t>والغضاريف</w:t>
      </w:r>
      <w:r w:rsidRPr="00366106">
        <w:rPr>
          <w:rFonts w:cs="Simplified Arabic"/>
          <w:szCs w:val="28"/>
          <w:rtl/>
          <w:lang/>
        </w:rPr>
        <w:t>.</w:t>
      </w:r>
    </w:p>
    <w:p w:rsidR="00C35717" w:rsidRPr="00366106" w:rsidRDefault="00C35717" w:rsidP="00366106">
      <w:pPr>
        <w:bidi/>
        <w:spacing w:after="0" w:line="360" w:lineRule="auto"/>
        <w:ind w:firstLine="425"/>
        <w:jc w:val="both"/>
        <w:rPr>
          <w:rFonts w:cs="Simplified Arabic"/>
          <w:szCs w:val="28"/>
          <w:lang/>
        </w:rPr>
      </w:pPr>
      <w:r w:rsidRPr="00366106">
        <w:rPr>
          <w:rFonts w:cs="Simplified Arabic" w:hint="cs"/>
          <w:szCs w:val="28"/>
          <w:rtl/>
          <w:lang/>
        </w:rPr>
        <w:t>الهدف</w:t>
      </w:r>
      <w:r w:rsidRPr="00366106">
        <w:rPr>
          <w:rFonts w:cs="Simplified Arabic"/>
          <w:szCs w:val="28"/>
          <w:rtl/>
          <w:lang/>
        </w:rPr>
        <w:t>:</w:t>
      </w:r>
    </w:p>
    <w:p w:rsidR="00C35717" w:rsidRPr="00366106" w:rsidRDefault="00C35717" w:rsidP="00366106">
      <w:pPr>
        <w:bidi/>
        <w:spacing w:after="0" w:line="360" w:lineRule="auto"/>
        <w:ind w:firstLine="425"/>
        <w:jc w:val="both"/>
        <w:rPr>
          <w:rFonts w:cs="Simplified Arabic"/>
          <w:szCs w:val="28"/>
          <w:rtl/>
          <w:lang/>
        </w:rPr>
      </w:pPr>
      <w:r w:rsidRPr="00366106">
        <w:rPr>
          <w:rFonts w:cs="Simplified Arabic" w:hint="cs"/>
          <w:szCs w:val="28"/>
          <w:rtl/>
          <w:lang/>
        </w:rPr>
        <w:t>تشخيص</w:t>
      </w:r>
      <w:r w:rsidRPr="00366106">
        <w:rPr>
          <w:rFonts w:cs="Simplified Arabic"/>
          <w:szCs w:val="28"/>
          <w:rtl/>
          <w:lang/>
        </w:rPr>
        <w:t xml:space="preserve"> </w:t>
      </w:r>
      <w:r w:rsidRPr="00366106">
        <w:rPr>
          <w:rFonts w:cs="Simplified Arabic" w:hint="cs"/>
          <w:szCs w:val="28"/>
          <w:rtl/>
          <w:lang/>
        </w:rPr>
        <w:t>أمراض</w:t>
      </w:r>
      <w:r w:rsidRPr="00366106">
        <w:rPr>
          <w:rFonts w:cs="Simplified Arabic"/>
          <w:szCs w:val="28"/>
          <w:rtl/>
          <w:lang/>
        </w:rPr>
        <w:t xml:space="preserve"> </w:t>
      </w:r>
      <w:r w:rsidRPr="00366106">
        <w:rPr>
          <w:rFonts w:cs="Simplified Arabic" w:hint="cs"/>
          <w:szCs w:val="28"/>
          <w:rtl/>
          <w:lang/>
        </w:rPr>
        <w:t>لين</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الوراثية</w:t>
      </w:r>
      <w:r w:rsidRPr="00366106">
        <w:rPr>
          <w:rFonts w:cs="Simplified Arabic"/>
          <w:szCs w:val="28"/>
          <w:rtl/>
          <w:lang/>
        </w:rPr>
        <w:t xml:space="preserve"> </w:t>
      </w:r>
      <w:r w:rsidRPr="00366106">
        <w:rPr>
          <w:rFonts w:cs="Simplified Arabic" w:hint="cs"/>
          <w:szCs w:val="28"/>
          <w:rtl/>
          <w:lang/>
        </w:rPr>
        <w:t>و</w:t>
      </w:r>
      <w:r w:rsidRPr="00366106">
        <w:rPr>
          <w:rFonts w:cs="Simplified Arabic"/>
          <w:szCs w:val="28"/>
          <w:rtl/>
          <w:lang/>
        </w:rPr>
        <w:t xml:space="preserve"> </w:t>
      </w:r>
      <w:r w:rsidRPr="00366106">
        <w:rPr>
          <w:rFonts w:cs="Simplified Arabic" w:hint="cs"/>
          <w:szCs w:val="28"/>
          <w:rtl/>
          <w:lang/>
        </w:rPr>
        <w:t>تقييم</w:t>
      </w:r>
      <w:r w:rsidRPr="00366106">
        <w:rPr>
          <w:rFonts w:cs="Simplified Arabic"/>
          <w:szCs w:val="28"/>
          <w:rtl/>
          <w:lang/>
        </w:rPr>
        <w:t xml:space="preserve"> </w:t>
      </w:r>
      <w:r w:rsidRPr="00366106">
        <w:rPr>
          <w:rFonts w:cs="Simplified Arabic" w:hint="cs"/>
          <w:szCs w:val="28"/>
          <w:rtl/>
          <w:lang/>
        </w:rPr>
        <w:t>آثار</w:t>
      </w:r>
      <w:r w:rsidRPr="00366106">
        <w:rPr>
          <w:rFonts w:cs="Simplified Arabic"/>
          <w:szCs w:val="28"/>
          <w:rtl/>
          <w:lang/>
        </w:rPr>
        <w:t xml:space="preserve"> </w:t>
      </w:r>
      <w:r w:rsidRPr="00366106">
        <w:rPr>
          <w:rFonts w:cs="Simplified Arabic" w:hint="cs"/>
          <w:szCs w:val="28"/>
          <w:rtl/>
          <w:lang/>
        </w:rPr>
        <w:t>العلاج</w:t>
      </w:r>
      <w:r w:rsidRPr="00366106">
        <w:rPr>
          <w:rFonts w:cs="Simplified Arabic"/>
          <w:szCs w:val="28"/>
          <w:rtl/>
          <w:lang/>
        </w:rPr>
        <w:t xml:space="preserve"> </w:t>
      </w:r>
      <w:r w:rsidRPr="00366106">
        <w:rPr>
          <w:rFonts w:cs="Simplified Arabic" w:hint="cs"/>
          <w:szCs w:val="28"/>
          <w:rtl/>
          <w:lang/>
        </w:rPr>
        <w:t>الدوائي</w:t>
      </w:r>
      <w:r w:rsidRPr="00366106">
        <w:rPr>
          <w:rFonts w:cs="Simplified Arabic"/>
          <w:szCs w:val="28"/>
          <w:rtl/>
          <w:lang/>
        </w:rPr>
        <w:t xml:space="preserve"> </w:t>
      </w:r>
      <w:r w:rsidRPr="00366106">
        <w:rPr>
          <w:rFonts w:cs="Simplified Arabic" w:hint="cs"/>
          <w:szCs w:val="28"/>
          <w:rtl/>
          <w:lang/>
        </w:rPr>
        <w:t>المتاح</w:t>
      </w:r>
      <w:r w:rsidRPr="00366106">
        <w:rPr>
          <w:rFonts w:cs="Simplified Arabic"/>
          <w:szCs w:val="28"/>
          <w:rtl/>
          <w:lang/>
        </w:rPr>
        <w:t xml:space="preserve"> </w:t>
      </w:r>
      <w:r w:rsidRPr="00366106">
        <w:rPr>
          <w:rFonts w:cs="Simplified Arabic" w:hint="cs"/>
          <w:szCs w:val="28"/>
          <w:rtl/>
          <w:lang/>
        </w:rPr>
        <w:t>خلال</w:t>
      </w:r>
      <w:r w:rsidRPr="00366106">
        <w:rPr>
          <w:rFonts w:cs="Simplified Arabic"/>
          <w:szCs w:val="28"/>
          <w:rtl/>
          <w:lang/>
        </w:rPr>
        <w:t xml:space="preserve"> </w:t>
      </w:r>
      <w:r w:rsidRPr="00366106">
        <w:rPr>
          <w:rFonts w:cs="Simplified Arabic" w:hint="cs"/>
          <w:szCs w:val="28"/>
          <w:rtl/>
          <w:lang/>
        </w:rPr>
        <w:t>فترة</w:t>
      </w:r>
      <w:r w:rsidRPr="00366106">
        <w:rPr>
          <w:rFonts w:cs="Simplified Arabic"/>
          <w:szCs w:val="28"/>
          <w:rtl/>
          <w:lang/>
        </w:rPr>
        <w:t xml:space="preserve"> 18 </w:t>
      </w:r>
      <w:r w:rsidRPr="00366106">
        <w:rPr>
          <w:rFonts w:cs="Simplified Arabic" w:hint="cs"/>
          <w:szCs w:val="28"/>
          <w:rtl/>
          <w:lang/>
        </w:rPr>
        <w:t>شهرا</w:t>
      </w:r>
    </w:p>
    <w:p w:rsidR="00C35717" w:rsidRPr="00366106" w:rsidRDefault="00C35717" w:rsidP="00366106">
      <w:pPr>
        <w:bidi/>
        <w:spacing w:after="0" w:line="360" w:lineRule="auto"/>
        <w:ind w:firstLine="425"/>
        <w:jc w:val="both"/>
        <w:rPr>
          <w:rFonts w:cs="Simplified Arabic"/>
          <w:szCs w:val="28"/>
          <w:rtl/>
          <w:lang/>
        </w:rPr>
      </w:pPr>
      <w:r w:rsidRPr="00366106">
        <w:rPr>
          <w:rFonts w:cs="Simplified Arabic" w:hint="cs"/>
          <w:szCs w:val="28"/>
          <w:rtl/>
          <w:lang/>
        </w:rPr>
        <w:t>طرق</w:t>
      </w:r>
      <w:r w:rsidRPr="00366106">
        <w:rPr>
          <w:rFonts w:cs="Simplified Arabic"/>
          <w:szCs w:val="28"/>
          <w:rtl/>
          <w:lang/>
        </w:rPr>
        <w:t xml:space="preserve"> </w:t>
      </w:r>
      <w:r w:rsidRPr="00366106">
        <w:rPr>
          <w:rFonts w:cs="Simplified Arabic" w:hint="cs"/>
          <w:szCs w:val="28"/>
          <w:rtl/>
          <w:lang/>
        </w:rPr>
        <w:t>و</w:t>
      </w:r>
      <w:r w:rsidRPr="00366106">
        <w:rPr>
          <w:rFonts w:cs="Simplified Arabic"/>
          <w:szCs w:val="28"/>
          <w:rtl/>
          <w:lang/>
        </w:rPr>
        <w:t xml:space="preserve"> </w:t>
      </w:r>
      <w:r w:rsidRPr="00366106">
        <w:rPr>
          <w:rFonts w:cs="Simplified Arabic" w:hint="cs"/>
          <w:szCs w:val="28"/>
          <w:rtl/>
          <w:lang/>
        </w:rPr>
        <w:t>أدوات</w:t>
      </w:r>
      <w:r w:rsidRPr="00366106">
        <w:rPr>
          <w:rFonts w:cs="Simplified Arabic"/>
          <w:szCs w:val="28"/>
          <w:rtl/>
          <w:lang/>
        </w:rPr>
        <w:t xml:space="preserve"> </w:t>
      </w:r>
      <w:r w:rsidRPr="00366106">
        <w:rPr>
          <w:rFonts w:cs="Simplified Arabic" w:hint="cs"/>
          <w:szCs w:val="28"/>
          <w:rtl/>
          <w:lang/>
        </w:rPr>
        <w:t>الدراسة</w:t>
      </w:r>
      <w:r w:rsidRPr="00366106">
        <w:rPr>
          <w:rFonts w:cs="Simplified Arabic"/>
          <w:szCs w:val="28"/>
          <w:rtl/>
          <w:lang/>
        </w:rPr>
        <w:t>:</w:t>
      </w:r>
    </w:p>
    <w:p w:rsidR="00C35717" w:rsidRPr="00366106" w:rsidRDefault="00C35717" w:rsidP="00366106">
      <w:pPr>
        <w:bidi/>
        <w:spacing w:after="0" w:line="360" w:lineRule="auto"/>
        <w:ind w:firstLine="425"/>
        <w:jc w:val="both"/>
        <w:rPr>
          <w:rFonts w:cs="Simplified Arabic"/>
          <w:szCs w:val="28"/>
          <w:lang/>
        </w:rPr>
      </w:pPr>
      <w:r w:rsidRPr="00366106">
        <w:rPr>
          <w:rFonts w:cs="Simplified Arabic" w:hint="cs"/>
          <w:szCs w:val="28"/>
          <w:rtl/>
          <w:lang/>
        </w:rPr>
        <w:t>يشكل</w:t>
      </w:r>
      <w:r w:rsidRPr="00366106">
        <w:rPr>
          <w:rFonts w:cs="Simplified Arabic"/>
          <w:szCs w:val="28"/>
          <w:rtl/>
          <w:lang/>
        </w:rPr>
        <w:t xml:space="preserve"> </w:t>
      </w:r>
      <w:r w:rsidRPr="00366106">
        <w:rPr>
          <w:rFonts w:cs="Simplified Arabic" w:hint="cs"/>
          <w:szCs w:val="28"/>
          <w:rtl/>
          <w:lang/>
        </w:rPr>
        <w:t>هذا</w:t>
      </w:r>
      <w:r w:rsidRPr="00366106">
        <w:rPr>
          <w:rFonts w:cs="Simplified Arabic"/>
          <w:szCs w:val="28"/>
          <w:rtl/>
          <w:lang/>
        </w:rPr>
        <w:t xml:space="preserve"> </w:t>
      </w:r>
      <w:r w:rsidRPr="00366106">
        <w:rPr>
          <w:rFonts w:cs="Simplified Arabic" w:hint="cs"/>
          <w:szCs w:val="28"/>
          <w:rtl/>
          <w:lang/>
        </w:rPr>
        <w:t>البحث</w:t>
      </w:r>
      <w:r w:rsidRPr="00366106">
        <w:rPr>
          <w:rFonts w:cs="Simplified Arabic"/>
          <w:szCs w:val="28"/>
          <w:rtl/>
          <w:lang/>
        </w:rPr>
        <w:t xml:space="preserve"> </w:t>
      </w:r>
      <w:r w:rsidRPr="00366106">
        <w:rPr>
          <w:rFonts w:cs="Simplified Arabic" w:hint="cs"/>
          <w:szCs w:val="28"/>
          <w:rtl/>
          <w:lang/>
        </w:rPr>
        <w:t>دراسة</w:t>
      </w:r>
      <w:r w:rsidRPr="00366106">
        <w:rPr>
          <w:rFonts w:cs="Simplified Arabic"/>
          <w:szCs w:val="28"/>
          <w:rtl/>
          <w:lang/>
        </w:rPr>
        <w:t xml:space="preserve"> </w:t>
      </w:r>
      <w:r w:rsidRPr="00366106">
        <w:rPr>
          <w:rFonts w:cs="Simplified Arabic" w:hint="cs"/>
          <w:szCs w:val="28"/>
          <w:rtl/>
          <w:lang/>
        </w:rPr>
        <w:t>وصفية</w:t>
      </w:r>
      <w:r w:rsidRPr="00366106">
        <w:rPr>
          <w:rFonts w:cs="Simplified Arabic"/>
          <w:szCs w:val="28"/>
          <w:rtl/>
          <w:lang/>
        </w:rPr>
        <w:t xml:space="preserve"> </w:t>
      </w:r>
      <w:r w:rsidRPr="00366106">
        <w:rPr>
          <w:rFonts w:cs="Simplified Arabic" w:hint="cs"/>
          <w:szCs w:val="28"/>
          <w:rtl/>
          <w:lang/>
        </w:rPr>
        <w:t>واستطلاعية</w:t>
      </w:r>
      <w:r w:rsidRPr="00366106">
        <w:rPr>
          <w:rFonts w:cs="Simplified Arabic"/>
          <w:szCs w:val="28"/>
          <w:rtl/>
          <w:lang/>
        </w:rPr>
        <w:t xml:space="preserve"> </w:t>
      </w:r>
      <w:r w:rsidRPr="00366106">
        <w:rPr>
          <w:rFonts w:cs="Simplified Arabic" w:hint="cs"/>
          <w:szCs w:val="28"/>
          <w:rtl/>
          <w:lang/>
        </w:rPr>
        <w:t>شملت</w:t>
      </w:r>
      <w:r w:rsidRPr="00366106">
        <w:rPr>
          <w:rFonts w:cs="Simplified Arabic"/>
          <w:szCs w:val="28"/>
          <w:rtl/>
          <w:lang/>
        </w:rPr>
        <w:t xml:space="preserve"> </w:t>
      </w:r>
      <w:r w:rsidRPr="00366106">
        <w:rPr>
          <w:rFonts w:cs="Simplified Arabic" w:hint="cs"/>
          <w:szCs w:val="28"/>
          <w:rtl/>
          <w:lang/>
        </w:rPr>
        <w:t>الأطفال</w:t>
      </w:r>
      <w:r w:rsidRPr="00366106">
        <w:rPr>
          <w:rFonts w:cs="Simplified Arabic"/>
          <w:szCs w:val="28"/>
          <w:rtl/>
          <w:lang/>
        </w:rPr>
        <w:t xml:space="preserve"> </w:t>
      </w:r>
      <w:r w:rsidRPr="00366106">
        <w:rPr>
          <w:rFonts w:cs="Simplified Arabic" w:hint="cs"/>
          <w:szCs w:val="28"/>
          <w:rtl/>
          <w:lang/>
        </w:rPr>
        <w:t>الذين</w:t>
      </w:r>
      <w:r w:rsidRPr="00366106">
        <w:rPr>
          <w:rFonts w:cs="Simplified Arabic"/>
          <w:szCs w:val="28"/>
          <w:rtl/>
          <w:lang/>
        </w:rPr>
        <w:t xml:space="preserve"> </w:t>
      </w:r>
      <w:r w:rsidRPr="00366106">
        <w:rPr>
          <w:rFonts w:cs="Simplified Arabic" w:hint="cs"/>
          <w:szCs w:val="28"/>
          <w:rtl/>
          <w:lang/>
        </w:rPr>
        <w:t>يعانون</w:t>
      </w:r>
      <w:r w:rsidRPr="00366106">
        <w:rPr>
          <w:rFonts w:cs="Simplified Arabic"/>
          <w:szCs w:val="28"/>
          <w:rtl/>
          <w:lang/>
        </w:rPr>
        <w:t xml:space="preserve"> </w:t>
      </w:r>
      <w:r w:rsidRPr="00366106">
        <w:rPr>
          <w:rFonts w:cs="Simplified Arabic" w:hint="cs"/>
          <w:szCs w:val="28"/>
          <w:rtl/>
          <w:lang/>
        </w:rPr>
        <w:t>من</w:t>
      </w:r>
      <w:r w:rsidRPr="00366106">
        <w:rPr>
          <w:rFonts w:cs="Simplified Arabic"/>
          <w:szCs w:val="28"/>
          <w:rtl/>
          <w:lang/>
        </w:rPr>
        <w:t xml:space="preserve"> </w:t>
      </w:r>
      <w:r w:rsidRPr="00366106">
        <w:rPr>
          <w:rFonts w:cs="Simplified Arabic" w:hint="cs"/>
          <w:szCs w:val="28"/>
          <w:rtl/>
          <w:lang/>
        </w:rPr>
        <w:t>لين</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الوراثى</w:t>
      </w:r>
      <w:r w:rsidRPr="00366106">
        <w:rPr>
          <w:rFonts w:cs="Simplified Arabic"/>
          <w:szCs w:val="28"/>
          <w:rtl/>
          <w:lang/>
        </w:rPr>
        <w:t xml:space="preserve"> </w:t>
      </w:r>
      <w:r w:rsidRPr="00366106">
        <w:rPr>
          <w:rFonts w:cs="Simplified Arabic" w:hint="cs"/>
          <w:szCs w:val="28"/>
          <w:rtl/>
          <w:lang/>
        </w:rPr>
        <w:t>من</w:t>
      </w:r>
      <w:r w:rsidRPr="00366106">
        <w:rPr>
          <w:rFonts w:cs="Simplified Arabic"/>
          <w:szCs w:val="28"/>
          <w:rtl/>
          <w:lang/>
        </w:rPr>
        <w:t xml:space="preserve"> </w:t>
      </w:r>
      <w:r w:rsidRPr="00366106">
        <w:rPr>
          <w:rFonts w:cs="Simplified Arabic" w:hint="cs"/>
          <w:szCs w:val="28"/>
          <w:rtl/>
          <w:lang/>
        </w:rPr>
        <w:t>المترددين</w:t>
      </w:r>
      <w:r w:rsidRPr="00366106">
        <w:rPr>
          <w:rFonts w:cs="Simplified Arabic"/>
          <w:szCs w:val="28"/>
          <w:rtl/>
          <w:lang/>
        </w:rPr>
        <w:t xml:space="preserve"> </w:t>
      </w:r>
      <w:r w:rsidRPr="00366106">
        <w:rPr>
          <w:rFonts w:cs="Simplified Arabic" w:hint="cs"/>
          <w:szCs w:val="28"/>
          <w:rtl/>
          <w:lang/>
        </w:rPr>
        <w:t>على</w:t>
      </w:r>
      <w:r w:rsidRPr="00366106">
        <w:rPr>
          <w:rFonts w:cs="Simplified Arabic"/>
          <w:szCs w:val="28"/>
          <w:rtl/>
          <w:lang/>
        </w:rPr>
        <w:t xml:space="preserve"> </w:t>
      </w:r>
      <w:r w:rsidRPr="00366106">
        <w:rPr>
          <w:rFonts w:cs="Simplified Arabic" w:hint="cs"/>
          <w:szCs w:val="28"/>
          <w:rtl/>
          <w:lang/>
        </w:rPr>
        <w:t>عيادة</w:t>
      </w:r>
      <w:r w:rsidRPr="00366106">
        <w:rPr>
          <w:rFonts w:cs="Simplified Arabic"/>
          <w:szCs w:val="28"/>
          <w:rtl/>
          <w:lang/>
        </w:rPr>
        <w:t xml:space="preserve"> </w:t>
      </w:r>
      <w:r w:rsidRPr="00366106">
        <w:rPr>
          <w:rFonts w:cs="Simplified Arabic" w:hint="cs"/>
          <w:szCs w:val="28"/>
          <w:rtl/>
          <w:lang/>
        </w:rPr>
        <w:t>تشوهات</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والأطراف</w:t>
      </w:r>
      <w:r w:rsidRPr="00366106">
        <w:rPr>
          <w:rFonts w:cs="Simplified Arabic"/>
          <w:szCs w:val="28"/>
          <w:rtl/>
          <w:lang/>
        </w:rPr>
        <w:t xml:space="preserve"> </w:t>
      </w:r>
      <w:r w:rsidRPr="00366106">
        <w:rPr>
          <w:rFonts w:cs="Simplified Arabic" w:hint="cs"/>
          <w:szCs w:val="28"/>
          <w:rtl/>
          <w:lang/>
        </w:rPr>
        <w:t>الوراثية</w:t>
      </w:r>
      <w:r w:rsidRPr="00366106">
        <w:rPr>
          <w:rFonts w:cs="Simplified Arabic"/>
          <w:szCs w:val="28"/>
          <w:rtl/>
          <w:lang/>
        </w:rPr>
        <w:t xml:space="preserve"> </w:t>
      </w:r>
      <w:r w:rsidRPr="00366106">
        <w:rPr>
          <w:rFonts w:cs="Simplified Arabic" w:hint="cs"/>
          <w:szCs w:val="28"/>
          <w:rtl/>
          <w:lang/>
        </w:rPr>
        <w:t>بالمركز</w:t>
      </w:r>
      <w:r w:rsidRPr="00366106">
        <w:rPr>
          <w:rFonts w:cs="Simplified Arabic"/>
          <w:szCs w:val="28"/>
          <w:rtl/>
          <w:lang/>
        </w:rPr>
        <w:t xml:space="preserve"> </w:t>
      </w:r>
      <w:r w:rsidRPr="00366106">
        <w:rPr>
          <w:rFonts w:cs="Simplified Arabic" w:hint="cs"/>
          <w:szCs w:val="28"/>
          <w:rtl/>
          <w:lang/>
        </w:rPr>
        <w:t>القومى</w:t>
      </w:r>
      <w:r w:rsidRPr="00366106">
        <w:rPr>
          <w:rFonts w:cs="Simplified Arabic"/>
          <w:szCs w:val="28"/>
          <w:rtl/>
          <w:lang/>
        </w:rPr>
        <w:t xml:space="preserve"> </w:t>
      </w:r>
      <w:r w:rsidRPr="00366106">
        <w:rPr>
          <w:rFonts w:cs="Simplified Arabic" w:hint="cs"/>
          <w:szCs w:val="28"/>
          <w:rtl/>
          <w:lang/>
        </w:rPr>
        <w:t>للبحوث</w:t>
      </w:r>
      <w:r w:rsidRPr="00366106">
        <w:rPr>
          <w:rFonts w:cs="Simplified Arabic"/>
          <w:szCs w:val="28"/>
          <w:rtl/>
          <w:lang/>
        </w:rPr>
        <w:t xml:space="preserve"> </w:t>
      </w:r>
      <w:r w:rsidRPr="00366106">
        <w:rPr>
          <w:rFonts w:cs="Simplified Arabic" w:hint="cs"/>
          <w:szCs w:val="28"/>
          <w:rtl/>
          <w:lang/>
        </w:rPr>
        <w:t>فى</w:t>
      </w:r>
      <w:r w:rsidRPr="00366106">
        <w:rPr>
          <w:rFonts w:cs="Simplified Arabic"/>
          <w:szCs w:val="28"/>
          <w:rtl/>
          <w:lang/>
        </w:rPr>
        <w:t xml:space="preserve"> </w:t>
      </w:r>
      <w:r w:rsidRPr="00366106">
        <w:rPr>
          <w:rFonts w:cs="Simplified Arabic" w:hint="cs"/>
          <w:szCs w:val="28"/>
          <w:rtl/>
          <w:lang/>
        </w:rPr>
        <w:t>الفترة</w:t>
      </w:r>
      <w:r w:rsidRPr="00366106">
        <w:rPr>
          <w:rFonts w:cs="Simplified Arabic"/>
          <w:szCs w:val="28"/>
          <w:rtl/>
          <w:lang/>
        </w:rPr>
        <w:t xml:space="preserve"> </w:t>
      </w:r>
      <w:r w:rsidRPr="00366106">
        <w:rPr>
          <w:rFonts w:cs="Simplified Arabic" w:hint="cs"/>
          <w:szCs w:val="28"/>
          <w:rtl/>
          <w:lang/>
        </w:rPr>
        <w:t>من</w:t>
      </w:r>
      <w:r w:rsidRPr="00366106">
        <w:rPr>
          <w:rFonts w:cs="Simplified Arabic"/>
          <w:szCs w:val="28"/>
          <w:rtl/>
          <w:lang/>
        </w:rPr>
        <w:t xml:space="preserve"> </w:t>
      </w:r>
      <w:r w:rsidRPr="00366106">
        <w:rPr>
          <w:rFonts w:cs="Simplified Arabic" w:hint="cs"/>
          <w:szCs w:val="28"/>
          <w:rtl/>
          <w:lang/>
        </w:rPr>
        <w:t>يناير</w:t>
      </w:r>
      <w:r w:rsidRPr="00366106">
        <w:rPr>
          <w:rFonts w:cs="Simplified Arabic"/>
          <w:szCs w:val="28"/>
          <w:rtl/>
          <w:lang/>
        </w:rPr>
        <w:t xml:space="preserve"> 2010 </w:t>
      </w:r>
      <w:r w:rsidRPr="00366106">
        <w:rPr>
          <w:rFonts w:cs="Simplified Arabic" w:hint="cs"/>
          <w:szCs w:val="28"/>
          <w:rtl/>
          <w:lang/>
        </w:rPr>
        <w:t>الى</w:t>
      </w:r>
      <w:r w:rsidRPr="00366106">
        <w:rPr>
          <w:rFonts w:cs="Simplified Arabic"/>
          <w:szCs w:val="28"/>
          <w:rtl/>
          <w:lang/>
        </w:rPr>
        <w:t xml:space="preserve"> </w:t>
      </w:r>
      <w:r w:rsidRPr="00366106">
        <w:rPr>
          <w:rFonts w:cs="Simplified Arabic" w:hint="cs"/>
          <w:szCs w:val="28"/>
          <w:rtl/>
          <w:lang/>
        </w:rPr>
        <w:t>ديسمبر</w:t>
      </w:r>
      <w:r w:rsidRPr="00366106">
        <w:rPr>
          <w:rFonts w:cs="Simplified Arabic"/>
          <w:szCs w:val="28"/>
          <w:rtl/>
          <w:lang/>
        </w:rPr>
        <w:t xml:space="preserve"> 2012. </w:t>
      </w:r>
      <w:r w:rsidRPr="00366106">
        <w:rPr>
          <w:rFonts w:cs="Simplified Arabic" w:hint="cs"/>
          <w:szCs w:val="28"/>
          <w:rtl/>
          <w:lang/>
        </w:rPr>
        <w:t>وتضمنت</w:t>
      </w:r>
      <w:r w:rsidRPr="00366106">
        <w:rPr>
          <w:rFonts w:cs="Simplified Arabic"/>
          <w:szCs w:val="28"/>
          <w:rtl/>
          <w:lang/>
        </w:rPr>
        <w:t xml:space="preserve"> </w:t>
      </w:r>
      <w:r w:rsidRPr="00366106">
        <w:rPr>
          <w:rFonts w:cs="Simplified Arabic" w:hint="cs"/>
          <w:szCs w:val="28"/>
          <w:rtl/>
          <w:lang/>
        </w:rPr>
        <w:t>الدراسة</w:t>
      </w:r>
      <w:r w:rsidRPr="00366106">
        <w:rPr>
          <w:rFonts w:cs="Simplified Arabic"/>
          <w:szCs w:val="28"/>
          <w:rtl/>
          <w:lang/>
        </w:rPr>
        <w:t xml:space="preserve"> </w:t>
      </w:r>
      <w:r w:rsidRPr="00366106">
        <w:rPr>
          <w:rFonts w:cs="Simplified Arabic" w:hint="cs"/>
          <w:szCs w:val="28"/>
          <w:rtl/>
          <w:lang/>
        </w:rPr>
        <w:t>ثلاث</w:t>
      </w:r>
      <w:r w:rsidRPr="00366106">
        <w:rPr>
          <w:rFonts w:cs="Simplified Arabic"/>
          <w:szCs w:val="28"/>
          <w:rtl/>
          <w:lang/>
        </w:rPr>
        <w:t xml:space="preserve"> </w:t>
      </w:r>
      <w:r w:rsidRPr="00366106">
        <w:rPr>
          <w:rFonts w:cs="Simplified Arabic" w:hint="cs"/>
          <w:szCs w:val="28"/>
          <w:rtl/>
          <w:lang/>
        </w:rPr>
        <w:t>عشرة</w:t>
      </w:r>
      <w:r w:rsidRPr="00366106">
        <w:rPr>
          <w:rFonts w:cs="Simplified Arabic"/>
          <w:szCs w:val="28"/>
          <w:rtl/>
          <w:lang/>
        </w:rPr>
        <w:t xml:space="preserve"> </w:t>
      </w:r>
      <w:r w:rsidRPr="00366106">
        <w:rPr>
          <w:rFonts w:cs="Simplified Arabic" w:hint="cs"/>
          <w:szCs w:val="28"/>
          <w:rtl/>
          <w:lang/>
        </w:rPr>
        <w:t>حالة</w:t>
      </w:r>
      <w:r w:rsidRPr="00366106">
        <w:rPr>
          <w:rFonts w:cs="Simplified Arabic"/>
          <w:szCs w:val="28"/>
          <w:rtl/>
          <w:lang/>
        </w:rPr>
        <w:t xml:space="preserve"> </w:t>
      </w:r>
      <w:r w:rsidRPr="00366106">
        <w:rPr>
          <w:rFonts w:cs="Simplified Arabic" w:hint="cs"/>
          <w:szCs w:val="28"/>
          <w:rtl/>
          <w:lang/>
        </w:rPr>
        <w:t>وقد</w:t>
      </w:r>
      <w:r w:rsidRPr="00366106">
        <w:rPr>
          <w:rFonts w:cs="Simplified Arabic"/>
          <w:szCs w:val="28"/>
          <w:rtl/>
          <w:lang/>
        </w:rPr>
        <w:t xml:space="preserve"> </w:t>
      </w:r>
      <w:r w:rsidRPr="00366106">
        <w:rPr>
          <w:rFonts w:cs="Simplified Arabic" w:hint="cs"/>
          <w:szCs w:val="28"/>
          <w:rtl/>
          <w:lang/>
        </w:rPr>
        <w:t>تم</w:t>
      </w:r>
      <w:r w:rsidRPr="00366106">
        <w:rPr>
          <w:rFonts w:cs="Simplified Arabic"/>
          <w:szCs w:val="28"/>
          <w:rtl/>
          <w:lang/>
        </w:rPr>
        <w:t xml:space="preserve"> </w:t>
      </w:r>
      <w:r w:rsidRPr="00366106">
        <w:rPr>
          <w:rFonts w:cs="Simplified Arabic" w:hint="cs"/>
          <w:szCs w:val="28"/>
          <w:rtl/>
          <w:lang/>
        </w:rPr>
        <w:t>تصنيفهم</w:t>
      </w:r>
      <w:r w:rsidRPr="00366106">
        <w:rPr>
          <w:rFonts w:cs="Simplified Arabic"/>
          <w:szCs w:val="28"/>
          <w:rtl/>
          <w:lang/>
        </w:rPr>
        <w:t xml:space="preserve"> </w:t>
      </w:r>
      <w:r w:rsidRPr="00366106">
        <w:rPr>
          <w:rFonts w:cs="Simplified Arabic" w:hint="cs"/>
          <w:szCs w:val="28"/>
          <w:rtl/>
          <w:lang/>
        </w:rPr>
        <w:t>الى</w:t>
      </w:r>
      <w:r w:rsidRPr="00366106">
        <w:rPr>
          <w:rFonts w:cs="Simplified Arabic"/>
          <w:szCs w:val="28"/>
          <w:rtl/>
          <w:lang/>
        </w:rPr>
        <w:t xml:space="preserve"> </w:t>
      </w:r>
      <w:r w:rsidRPr="00366106">
        <w:rPr>
          <w:rFonts w:cs="Simplified Arabic" w:hint="cs"/>
          <w:szCs w:val="28"/>
          <w:rtl/>
          <w:lang/>
        </w:rPr>
        <w:t>لين</w:t>
      </w:r>
      <w:r w:rsidRPr="00366106">
        <w:rPr>
          <w:rFonts w:cs="Simplified Arabic"/>
          <w:szCs w:val="28"/>
          <w:rtl/>
          <w:lang/>
        </w:rPr>
        <w:t xml:space="preserve"> </w:t>
      </w:r>
      <w:r w:rsidRPr="00366106">
        <w:rPr>
          <w:rFonts w:cs="Simplified Arabic" w:hint="cs"/>
          <w:szCs w:val="28"/>
          <w:rtl/>
          <w:lang/>
        </w:rPr>
        <w:t>عظام</w:t>
      </w:r>
      <w:r w:rsidRPr="00366106">
        <w:rPr>
          <w:rFonts w:cs="Simplified Arabic"/>
          <w:szCs w:val="28"/>
          <w:rtl/>
          <w:lang/>
        </w:rPr>
        <w:t xml:space="preserve"> </w:t>
      </w:r>
      <w:r w:rsidRPr="00366106">
        <w:rPr>
          <w:rFonts w:cs="Simplified Arabic" w:hint="cs"/>
          <w:szCs w:val="28"/>
          <w:rtl/>
          <w:lang/>
        </w:rPr>
        <w:t>نتيجة</w:t>
      </w:r>
      <w:r w:rsidRPr="00366106">
        <w:rPr>
          <w:rFonts w:cs="Simplified Arabic"/>
          <w:szCs w:val="28"/>
          <w:rtl/>
          <w:lang/>
        </w:rPr>
        <w:t xml:space="preserve"> </w:t>
      </w:r>
      <w:r w:rsidRPr="00366106">
        <w:rPr>
          <w:rFonts w:cs="Simplified Arabic" w:hint="cs"/>
          <w:szCs w:val="28"/>
          <w:rtl/>
          <w:lang/>
        </w:rPr>
        <w:t>نقص</w:t>
      </w:r>
      <w:r w:rsidRPr="00366106">
        <w:rPr>
          <w:rFonts w:cs="Simplified Arabic"/>
          <w:szCs w:val="28"/>
          <w:rtl/>
          <w:lang/>
        </w:rPr>
        <w:t xml:space="preserve"> </w:t>
      </w:r>
      <w:r w:rsidRPr="00366106">
        <w:rPr>
          <w:rFonts w:cs="Simplified Arabic" w:hint="cs"/>
          <w:szCs w:val="28"/>
          <w:rtl/>
          <w:lang/>
        </w:rPr>
        <w:t>الكالسيوم</w:t>
      </w:r>
      <w:r w:rsidRPr="00366106">
        <w:rPr>
          <w:rFonts w:cs="Simplified Arabic"/>
          <w:szCs w:val="28"/>
          <w:rtl/>
          <w:lang/>
        </w:rPr>
        <w:t xml:space="preserve"> </w:t>
      </w:r>
      <w:r w:rsidRPr="00366106">
        <w:rPr>
          <w:rFonts w:cs="Simplified Arabic" w:hint="cs"/>
          <w:szCs w:val="28"/>
          <w:rtl/>
          <w:lang/>
        </w:rPr>
        <w:t>ولين</w:t>
      </w:r>
      <w:r w:rsidRPr="00366106">
        <w:rPr>
          <w:rFonts w:cs="Simplified Arabic"/>
          <w:szCs w:val="28"/>
          <w:rtl/>
          <w:lang/>
        </w:rPr>
        <w:t xml:space="preserve"> </w:t>
      </w:r>
      <w:r w:rsidRPr="00366106">
        <w:rPr>
          <w:rFonts w:cs="Simplified Arabic" w:hint="cs"/>
          <w:szCs w:val="28"/>
          <w:rtl/>
          <w:lang/>
        </w:rPr>
        <w:t>عظام</w:t>
      </w:r>
      <w:r w:rsidRPr="00366106">
        <w:rPr>
          <w:rFonts w:cs="Simplified Arabic"/>
          <w:szCs w:val="28"/>
          <w:rtl/>
          <w:lang/>
        </w:rPr>
        <w:t xml:space="preserve"> </w:t>
      </w:r>
      <w:r w:rsidRPr="00366106">
        <w:rPr>
          <w:rFonts w:cs="Simplified Arabic" w:hint="cs"/>
          <w:szCs w:val="28"/>
          <w:rtl/>
          <w:lang/>
        </w:rPr>
        <w:t>نتيجة</w:t>
      </w:r>
      <w:r w:rsidRPr="00366106">
        <w:rPr>
          <w:rFonts w:cs="Simplified Arabic"/>
          <w:szCs w:val="28"/>
          <w:rtl/>
          <w:lang/>
        </w:rPr>
        <w:t xml:space="preserve"> </w:t>
      </w:r>
      <w:r w:rsidRPr="00366106">
        <w:rPr>
          <w:rFonts w:cs="Simplified Arabic" w:hint="cs"/>
          <w:szCs w:val="28"/>
          <w:rtl/>
          <w:lang/>
        </w:rPr>
        <w:t>نقص</w:t>
      </w:r>
      <w:r w:rsidRPr="00366106">
        <w:rPr>
          <w:rFonts w:cs="Simplified Arabic"/>
          <w:szCs w:val="28"/>
          <w:rtl/>
          <w:lang/>
        </w:rPr>
        <w:t xml:space="preserve"> </w:t>
      </w:r>
      <w:r w:rsidRPr="00366106">
        <w:rPr>
          <w:rFonts w:cs="Simplified Arabic" w:hint="cs"/>
          <w:szCs w:val="28"/>
          <w:rtl/>
          <w:lang/>
        </w:rPr>
        <w:t>الفوسفور</w:t>
      </w:r>
      <w:r w:rsidRPr="00366106">
        <w:rPr>
          <w:rFonts w:cs="Simplified Arabic"/>
          <w:szCs w:val="28"/>
          <w:rtl/>
          <w:lang/>
        </w:rPr>
        <w:t xml:space="preserve"> </w:t>
      </w:r>
      <w:r w:rsidRPr="00366106">
        <w:rPr>
          <w:rFonts w:cs="Simplified Arabic" w:hint="cs"/>
          <w:szCs w:val="28"/>
          <w:rtl/>
          <w:lang/>
        </w:rPr>
        <w:t>وتم</w:t>
      </w:r>
      <w:r w:rsidRPr="00366106">
        <w:rPr>
          <w:rFonts w:cs="Simplified Arabic"/>
          <w:szCs w:val="28"/>
          <w:rtl/>
          <w:lang/>
        </w:rPr>
        <w:t xml:space="preserve"> </w:t>
      </w:r>
      <w:r w:rsidRPr="00366106">
        <w:rPr>
          <w:rFonts w:cs="Simplified Arabic" w:hint="cs"/>
          <w:szCs w:val="28"/>
          <w:rtl/>
          <w:lang/>
        </w:rPr>
        <w:t>اعطاء</w:t>
      </w:r>
      <w:r w:rsidRPr="00366106">
        <w:rPr>
          <w:rFonts w:cs="Simplified Arabic"/>
          <w:szCs w:val="28"/>
          <w:rtl/>
          <w:lang/>
        </w:rPr>
        <w:t xml:space="preserve"> </w:t>
      </w:r>
      <w:r w:rsidRPr="00366106">
        <w:rPr>
          <w:rFonts w:cs="Simplified Arabic" w:hint="cs"/>
          <w:szCs w:val="28"/>
          <w:rtl/>
          <w:lang/>
        </w:rPr>
        <w:t>العلاج</w:t>
      </w:r>
      <w:r w:rsidRPr="00366106">
        <w:rPr>
          <w:rFonts w:cs="Simplified Arabic"/>
          <w:szCs w:val="28"/>
          <w:rtl/>
          <w:lang/>
        </w:rPr>
        <w:t xml:space="preserve"> </w:t>
      </w:r>
      <w:r w:rsidRPr="00366106">
        <w:rPr>
          <w:rFonts w:cs="Simplified Arabic" w:hint="cs"/>
          <w:szCs w:val="28"/>
          <w:rtl/>
          <w:lang/>
        </w:rPr>
        <w:t>تبعا</w:t>
      </w:r>
      <w:r w:rsidRPr="00366106">
        <w:rPr>
          <w:rFonts w:cs="Simplified Arabic"/>
          <w:szCs w:val="28"/>
          <w:rtl/>
          <w:lang/>
        </w:rPr>
        <w:t xml:space="preserve"> </w:t>
      </w:r>
      <w:r w:rsidRPr="00366106">
        <w:rPr>
          <w:rFonts w:cs="Simplified Arabic" w:hint="cs"/>
          <w:szCs w:val="28"/>
          <w:rtl/>
          <w:lang/>
        </w:rPr>
        <w:t>لكل</w:t>
      </w:r>
      <w:r w:rsidRPr="00366106">
        <w:rPr>
          <w:rFonts w:cs="Simplified Arabic"/>
          <w:szCs w:val="28"/>
          <w:rtl/>
          <w:lang/>
        </w:rPr>
        <w:t xml:space="preserve"> </w:t>
      </w:r>
      <w:r w:rsidRPr="00366106">
        <w:rPr>
          <w:rFonts w:cs="Simplified Arabic" w:hint="cs"/>
          <w:szCs w:val="28"/>
          <w:rtl/>
          <w:lang/>
        </w:rPr>
        <w:t>سبب</w:t>
      </w:r>
      <w:r w:rsidRPr="00366106">
        <w:rPr>
          <w:rFonts w:cs="Simplified Arabic"/>
          <w:szCs w:val="28"/>
          <w:rtl/>
          <w:lang/>
        </w:rPr>
        <w:t xml:space="preserve"> </w:t>
      </w:r>
      <w:r w:rsidRPr="00366106">
        <w:rPr>
          <w:rFonts w:cs="Simplified Arabic" w:hint="cs"/>
          <w:szCs w:val="28"/>
          <w:rtl/>
          <w:lang/>
        </w:rPr>
        <w:t>على</w:t>
      </w:r>
      <w:r w:rsidRPr="00366106">
        <w:rPr>
          <w:rFonts w:cs="Simplified Arabic"/>
          <w:szCs w:val="28"/>
          <w:rtl/>
          <w:lang/>
        </w:rPr>
        <w:t xml:space="preserve"> </w:t>
      </w:r>
      <w:r w:rsidRPr="00366106">
        <w:rPr>
          <w:rFonts w:cs="Simplified Arabic" w:hint="cs"/>
          <w:szCs w:val="28"/>
          <w:rtl/>
          <w:lang/>
        </w:rPr>
        <w:t>حدة</w:t>
      </w:r>
      <w:r w:rsidRPr="00366106">
        <w:rPr>
          <w:rFonts w:cs="Simplified Arabic"/>
          <w:szCs w:val="28"/>
          <w:rtl/>
          <w:lang/>
        </w:rPr>
        <w:t>.</w:t>
      </w:r>
    </w:p>
    <w:p w:rsidR="00C35717" w:rsidRPr="00366106" w:rsidRDefault="00C35717" w:rsidP="00366106">
      <w:pPr>
        <w:bidi/>
        <w:spacing w:after="0" w:line="360" w:lineRule="auto"/>
        <w:ind w:firstLine="425"/>
        <w:jc w:val="both"/>
        <w:rPr>
          <w:rFonts w:cs="Simplified Arabic"/>
          <w:szCs w:val="28"/>
          <w:rtl/>
          <w:lang w:bidi="ar-EG"/>
        </w:rPr>
      </w:pPr>
      <w:r w:rsidRPr="00366106">
        <w:rPr>
          <w:rFonts w:cs="Simplified Arabic" w:hint="cs"/>
          <w:szCs w:val="28"/>
          <w:rtl/>
          <w:lang/>
        </w:rPr>
        <w:t>نتائج</w:t>
      </w:r>
      <w:r w:rsidRPr="00366106">
        <w:rPr>
          <w:rFonts w:cs="Simplified Arabic"/>
          <w:szCs w:val="28"/>
          <w:rtl/>
          <w:lang/>
        </w:rPr>
        <w:t xml:space="preserve"> </w:t>
      </w:r>
      <w:r w:rsidRPr="00366106">
        <w:rPr>
          <w:rFonts w:cs="Simplified Arabic" w:hint="cs"/>
          <w:szCs w:val="28"/>
          <w:rtl/>
          <w:lang/>
        </w:rPr>
        <w:t>البحث</w:t>
      </w:r>
      <w:r w:rsidRPr="00366106">
        <w:rPr>
          <w:rFonts w:cs="Simplified Arabic"/>
          <w:szCs w:val="28"/>
          <w:rtl/>
          <w:lang/>
        </w:rPr>
        <w:t>:</w:t>
      </w:r>
    </w:p>
    <w:p w:rsidR="00C35717" w:rsidRPr="00366106" w:rsidRDefault="00C35717" w:rsidP="00366106">
      <w:pPr>
        <w:bidi/>
        <w:spacing w:after="0" w:line="360" w:lineRule="auto"/>
        <w:ind w:firstLine="425"/>
        <w:jc w:val="both"/>
        <w:rPr>
          <w:rFonts w:cs="Simplified Arabic"/>
          <w:szCs w:val="28"/>
          <w:rtl/>
          <w:lang/>
        </w:rPr>
      </w:pPr>
      <w:r w:rsidRPr="00366106">
        <w:rPr>
          <w:rFonts w:cs="Simplified Arabic" w:hint="cs"/>
          <w:szCs w:val="28"/>
          <w:rtl/>
          <w:lang/>
        </w:rPr>
        <w:t>وقد</w:t>
      </w:r>
      <w:r w:rsidRPr="00366106">
        <w:rPr>
          <w:rFonts w:cs="Simplified Arabic"/>
          <w:szCs w:val="28"/>
          <w:rtl/>
          <w:lang/>
        </w:rPr>
        <w:t xml:space="preserve"> </w:t>
      </w:r>
      <w:r w:rsidRPr="00366106">
        <w:rPr>
          <w:rFonts w:cs="Simplified Arabic" w:hint="cs"/>
          <w:szCs w:val="28"/>
          <w:rtl/>
          <w:lang/>
        </w:rPr>
        <w:t>تضمنت</w:t>
      </w:r>
      <w:r w:rsidRPr="00366106">
        <w:rPr>
          <w:rFonts w:cs="Simplified Arabic"/>
          <w:szCs w:val="28"/>
          <w:rtl/>
          <w:lang/>
        </w:rPr>
        <w:t xml:space="preserve"> </w:t>
      </w:r>
      <w:r w:rsidRPr="00366106">
        <w:rPr>
          <w:rFonts w:cs="Simplified Arabic" w:hint="cs"/>
          <w:szCs w:val="28"/>
          <w:rtl/>
          <w:lang/>
        </w:rPr>
        <w:t>الدراسة</w:t>
      </w:r>
      <w:r w:rsidRPr="00366106">
        <w:rPr>
          <w:rFonts w:cs="Simplified Arabic"/>
          <w:szCs w:val="28"/>
          <w:rtl/>
          <w:lang/>
        </w:rPr>
        <w:t xml:space="preserve"> </w:t>
      </w:r>
      <w:r w:rsidRPr="00366106">
        <w:rPr>
          <w:rFonts w:cs="Simplified Arabic" w:hint="cs"/>
          <w:szCs w:val="28"/>
          <w:rtl/>
          <w:lang/>
        </w:rPr>
        <w:t>عدد</w:t>
      </w:r>
      <w:r w:rsidRPr="00366106">
        <w:rPr>
          <w:rFonts w:cs="Simplified Arabic"/>
          <w:szCs w:val="28"/>
          <w:rtl/>
          <w:lang/>
        </w:rPr>
        <w:t xml:space="preserve"> </w:t>
      </w:r>
      <w:r w:rsidRPr="00366106">
        <w:rPr>
          <w:rFonts w:cs="Simplified Arabic" w:hint="cs"/>
          <w:szCs w:val="28"/>
          <w:rtl/>
          <w:lang/>
        </w:rPr>
        <w:t>ثلاث</w:t>
      </w:r>
      <w:r w:rsidRPr="00366106">
        <w:rPr>
          <w:rFonts w:cs="Simplified Arabic"/>
          <w:szCs w:val="28"/>
          <w:rtl/>
          <w:lang/>
        </w:rPr>
        <w:t xml:space="preserve"> </w:t>
      </w:r>
      <w:r w:rsidRPr="00366106">
        <w:rPr>
          <w:rFonts w:cs="Simplified Arabic" w:hint="cs"/>
          <w:szCs w:val="28"/>
          <w:rtl/>
          <w:lang/>
        </w:rPr>
        <w:t>عشرة</w:t>
      </w:r>
      <w:r w:rsidRPr="00366106">
        <w:rPr>
          <w:rFonts w:cs="Simplified Arabic"/>
          <w:szCs w:val="28"/>
          <w:rtl/>
          <w:lang/>
        </w:rPr>
        <w:t xml:space="preserve"> </w:t>
      </w:r>
      <w:r w:rsidRPr="00366106">
        <w:rPr>
          <w:rFonts w:cs="Simplified Arabic" w:hint="cs"/>
          <w:szCs w:val="28"/>
          <w:rtl/>
          <w:lang/>
        </w:rPr>
        <w:t>حالة</w:t>
      </w:r>
      <w:r w:rsidRPr="00366106">
        <w:rPr>
          <w:rFonts w:cs="Simplified Arabic"/>
          <w:szCs w:val="28"/>
          <w:rtl/>
          <w:lang/>
        </w:rPr>
        <w:t xml:space="preserve"> </w:t>
      </w:r>
      <w:r w:rsidRPr="00366106">
        <w:rPr>
          <w:rFonts w:cs="Simplified Arabic" w:hint="cs"/>
          <w:szCs w:val="28"/>
          <w:rtl/>
          <w:lang/>
        </w:rPr>
        <w:t>من</w:t>
      </w:r>
      <w:r w:rsidRPr="00366106">
        <w:rPr>
          <w:rFonts w:cs="Simplified Arabic"/>
          <w:szCs w:val="28"/>
          <w:rtl/>
          <w:lang/>
        </w:rPr>
        <w:t xml:space="preserve"> </w:t>
      </w:r>
      <w:r w:rsidRPr="00366106">
        <w:rPr>
          <w:rFonts w:cs="Simplified Arabic" w:hint="cs"/>
          <w:szCs w:val="28"/>
          <w:rtl/>
          <w:lang/>
        </w:rPr>
        <w:t>أمراض</w:t>
      </w:r>
      <w:r w:rsidRPr="00366106">
        <w:rPr>
          <w:rFonts w:cs="Simplified Arabic"/>
          <w:szCs w:val="28"/>
          <w:rtl/>
          <w:lang/>
        </w:rPr>
        <w:t xml:space="preserve"> </w:t>
      </w:r>
      <w:r w:rsidRPr="00366106">
        <w:rPr>
          <w:rFonts w:cs="Simplified Arabic" w:hint="cs"/>
          <w:szCs w:val="28"/>
          <w:rtl/>
          <w:lang/>
        </w:rPr>
        <w:t>لين</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الوراثى</w:t>
      </w:r>
      <w:r w:rsidRPr="00366106">
        <w:rPr>
          <w:rFonts w:cs="Simplified Arabic"/>
          <w:szCs w:val="28"/>
          <w:rtl/>
          <w:lang/>
        </w:rPr>
        <w:t xml:space="preserve"> </w:t>
      </w:r>
      <w:r w:rsidRPr="00366106">
        <w:rPr>
          <w:rFonts w:cs="Simplified Arabic" w:hint="cs"/>
          <w:szCs w:val="28"/>
          <w:rtl/>
          <w:lang/>
        </w:rPr>
        <w:t>منهم</w:t>
      </w:r>
      <w:r w:rsidRPr="00366106">
        <w:rPr>
          <w:rFonts w:cs="Simplified Arabic"/>
          <w:szCs w:val="28"/>
          <w:rtl/>
          <w:lang/>
        </w:rPr>
        <w:t xml:space="preserve"> </w:t>
      </w:r>
      <w:r w:rsidRPr="00366106">
        <w:rPr>
          <w:rFonts w:cs="Simplified Arabic" w:hint="cs"/>
          <w:szCs w:val="28"/>
          <w:rtl/>
          <w:lang/>
        </w:rPr>
        <w:t>أربع</w:t>
      </w:r>
      <w:r w:rsidRPr="00366106">
        <w:rPr>
          <w:rFonts w:cs="Simplified Arabic"/>
          <w:szCs w:val="28"/>
          <w:rtl/>
          <w:lang/>
        </w:rPr>
        <w:t xml:space="preserve"> </w:t>
      </w:r>
      <w:r w:rsidRPr="00366106">
        <w:rPr>
          <w:rFonts w:cs="Simplified Arabic" w:hint="cs"/>
          <w:szCs w:val="28"/>
          <w:rtl/>
          <w:lang/>
        </w:rPr>
        <w:t>حالات</w:t>
      </w:r>
      <w:r w:rsidRPr="00366106">
        <w:rPr>
          <w:rFonts w:cs="Simplified Arabic"/>
          <w:szCs w:val="28"/>
          <w:rtl/>
          <w:lang/>
        </w:rPr>
        <w:t xml:space="preserve"> </w:t>
      </w:r>
      <w:r w:rsidRPr="00366106">
        <w:rPr>
          <w:rFonts w:cs="Simplified Arabic" w:hint="cs"/>
          <w:szCs w:val="28"/>
          <w:rtl/>
          <w:lang/>
        </w:rPr>
        <w:t>نتيجة</w:t>
      </w:r>
      <w:r w:rsidRPr="00366106">
        <w:rPr>
          <w:rFonts w:cs="Simplified Arabic"/>
          <w:szCs w:val="28"/>
          <w:rtl/>
          <w:lang/>
        </w:rPr>
        <w:t xml:space="preserve"> </w:t>
      </w:r>
      <w:r w:rsidRPr="00366106">
        <w:rPr>
          <w:rFonts w:cs="Simplified Arabic" w:hint="cs"/>
          <w:szCs w:val="28"/>
          <w:rtl/>
          <w:lang/>
        </w:rPr>
        <w:t>عيوب</w:t>
      </w:r>
      <w:r w:rsidRPr="00366106">
        <w:rPr>
          <w:rFonts w:cs="Simplified Arabic"/>
          <w:szCs w:val="28"/>
          <w:rtl/>
          <w:lang/>
        </w:rPr>
        <w:t xml:space="preserve"> </w:t>
      </w:r>
      <w:r w:rsidRPr="00366106">
        <w:rPr>
          <w:rFonts w:cs="Simplified Arabic" w:hint="cs"/>
          <w:szCs w:val="28"/>
          <w:rtl/>
          <w:lang/>
        </w:rPr>
        <w:t>أيضية</w:t>
      </w:r>
      <w:r w:rsidRPr="00366106">
        <w:rPr>
          <w:rFonts w:cs="Simplified Arabic"/>
          <w:szCs w:val="28"/>
          <w:rtl/>
          <w:lang/>
        </w:rPr>
        <w:t xml:space="preserve"> </w:t>
      </w:r>
      <w:r w:rsidRPr="00366106">
        <w:rPr>
          <w:rFonts w:cs="Simplified Arabic" w:hint="cs"/>
          <w:szCs w:val="28"/>
          <w:rtl/>
          <w:lang/>
        </w:rPr>
        <w:t>فى</w:t>
      </w:r>
      <w:r w:rsidRPr="00366106">
        <w:rPr>
          <w:rFonts w:cs="Simplified Arabic"/>
          <w:szCs w:val="28"/>
          <w:rtl/>
          <w:lang/>
        </w:rPr>
        <w:t xml:space="preserve"> </w:t>
      </w:r>
      <w:r w:rsidRPr="00366106">
        <w:rPr>
          <w:rFonts w:cs="Simplified Arabic" w:hint="cs"/>
          <w:szCs w:val="28"/>
          <w:rtl/>
          <w:lang/>
        </w:rPr>
        <w:t>عمل</w:t>
      </w:r>
      <w:r w:rsidRPr="00366106">
        <w:rPr>
          <w:rFonts w:cs="Simplified Arabic"/>
          <w:szCs w:val="28"/>
          <w:rtl/>
          <w:lang/>
        </w:rPr>
        <w:t xml:space="preserve"> </w:t>
      </w:r>
      <w:r w:rsidRPr="00366106">
        <w:rPr>
          <w:rFonts w:cs="Simplified Arabic" w:hint="cs"/>
          <w:szCs w:val="28"/>
          <w:rtl/>
          <w:lang/>
        </w:rPr>
        <w:t>فيتامين</w:t>
      </w:r>
      <w:r w:rsidRPr="00366106">
        <w:rPr>
          <w:rFonts w:cs="Simplified Arabic"/>
          <w:szCs w:val="28"/>
          <w:rtl/>
          <w:lang/>
        </w:rPr>
        <w:t xml:space="preserve"> </w:t>
      </w:r>
      <w:r w:rsidRPr="00366106">
        <w:rPr>
          <w:rFonts w:cs="Simplified Arabic" w:hint="cs"/>
          <w:szCs w:val="28"/>
          <w:rtl/>
          <w:lang/>
        </w:rPr>
        <w:t>د</w:t>
      </w:r>
      <w:r w:rsidRPr="00366106">
        <w:rPr>
          <w:rFonts w:cs="Simplified Arabic"/>
          <w:szCs w:val="28"/>
          <w:rtl/>
          <w:lang/>
        </w:rPr>
        <w:t xml:space="preserve">. </w:t>
      </w:r>
      <w:r w:rsidRPr="00366106">
        <w:rPr>
          <w:rFonts w:cs="Simplified Arabic" w:hint="cs"/>
          <w:szCs w:val="28"/>
          <w:rtl/>
          <w:lang/>
        </w:rPr>
        <w:t>وقد</w:t>
      </w:r>
      <w:r w:rsidRPr="00366106">
        <w:rPr>
          <w:rFonts w:cs="Simplified Arabic"/>
          <w:szCs w:val="28"/>
          <w:rtl/>
          <w:lang/>
        </w:rPr>
        <w:t xml:space="preserve"> </w:t>
      </w:r>
      <w:r w:rsidRPr="00366106">
        <w:rPr>
          <w:rFonts w:cs="Simplified Arabic" w:hint="cs"/>
          <w:szCs w:val="28"/>
          <w:rtl/>
          <w:lang/>
        </w:rPr>
        <w:t>تم</w:t>
      </w:r>
      <w:r w:rsidRPr="00366106">
        <w:rPr>
          <w:rFonts w:cs="Simplified Arabic"/>
          <w:szCs w:val="28"/>
          <w:rtl/>
          <w:lang/>
        </w:rPr>
        <w:t xml:space="preserve"> </w:t>
      </w:r>
      <w:r w:rsidRPr="00366106">
        <w:rPr>
          <w:rFonts w:cs="Simplified Arabic" w:hint="cs"/>
          <w:szCs w:val="28"/>
          <w:rtl/>
          <w:lang/>
        </w:rPr>
        <w:t>علاجهم</w:t>
      </w:r>
      <w:r w:rsidRPr="00366106">
        <w:rPr>
          <w:rFonts w:cs="Simplified Arabic"/>
          <w:szCs w:val="28"/>
          <w:rtl/>
          <w:lang/>
        </w:rPr>
        <w:t xml:space="preserve"> </w:t>
      </w:r>
      <w:r w:rsidRPr="00366106">
        <w:rPr>
          <w:rFonts w:cs="Simplified Arabic" w:hint="cs"/>
          <w:szCs w:val="28"/>
          <w:rtl/>
          <w:lang/>
        </w:rPr>
        <w:t>بجرعات</w:t>
      </w:r>
      <w:r w:rsidRPr="00366106">
        <w:rPr>
          <w:rFonts w:cs="Simplified Arabic"/>
          <w:szCs w:val="28"/>
          <w:rtl/>
          <w:lang/>
        </w:rPr>
        <w:t xml:space="preserve"> </w:t>
      </w:r>
      <w:r w:rsidRPr="00366106">
        <w:rPr>
          <w:rFonts w:cs="Simplified Arabic" w:hint="cs"/>
          <w:szCs w:val="28"/>
          <w:rtl/>
          <w:lang/>
        </w:rPr>
        <w:t>عالية</w:t>
      </w:r>
      <w:r w:rsidRPr="00366106">
        <w:rPr>
          <w:rFonts w:cs="Simplified Arabic"/>
          <w:szCs w:val="28"/>
          <w:rtl/>
          <w:lang/>
        </w:rPr>
        <w:t xml:space="preserve"> </w:t>
      </w:r>
      <w:r w:rsidRPr="00366106">
        <w:rPr>
          <w:rFonts w:cs="Simplified Arabic" w:hint="cs"/>
          <w:szCs w:val="28"/>
          <w:rtl/>
          <w:lang/>
        </w:rPr>
        <w:t>من</w:t>
      </w:r>
      <w:r w:rsidRPr="00366106">
        <w:rPr>
          <w:rFonts w:cs="Simplified Arabic"/>
          <w:szCs w:val="28"/>
          <w:rtl/>
          <w:lang/>
        </w:rPr>
        <w:t xml:space="preserve"> </w:t>
      </w:r>
      <w:r w:rsidRPr="00366106">
        <w:rPr>
          <w:rFonts w:cs="Simplified Arabic" w:hint="cs"/>
          <w:szCs w:val="28"/>
          <w:rtl/>
          <w:lang/>
        </w:rPr>
        <w:t>الكالسيوم</w:t>
      </w:r>
      <w:r w:rsidRPr="00366106">
        <w:rPr>
          <w:rFonts w:cs="Simplified Arabic"/>
          <w:szCs w:val="28"/>
          <w:rtl/>
          <w:lang/>
        </w:rPr>
        <w:t xml:space="preserve"> </w:t>
      </w:r>
      <w:r w:rsidRPr="00366106">
        <w:rPr>
          <w:rFonts w:cs="Simplified Arabic" w:hint="cs"/>
          <w:szCs w:val="28"/>
          <w:rtl/>
          <w:lang/>
        </w:rPr>
        <w:t>وفيتامين</w:t>
      </w:r>
      <w:r w:rsidRPr="00366106">
        <w:rPr>
          <w:rFonts w:cs="Simplified Arabic"/>
          <w:szCs w:val="28"/>
          <w:rtl/>
          <w:lang/>
        </w:rPr>
        <w:t xml:space="preserve"> </w:t>
      </w:r>
      <w:r w:rsidRPr="00366106">
        <w:rPr>
          <w:rFonts w:cs="Simplified Arabic" w:hint="cs"/>
          <w:szCs w:val="28"/>
          <w:rtl/>
          <w:lang/>
        </w:rPr>
        <w:t>د</w:t>
      </w:r>
      <w:r w:rsidRPr="00366106">
        <w:rPr>
          <w:rFonts w:cs="Simplified Arabic"/>
          <w:szCs w:val="28"/>
          <w:rtl/>
          <w:lang/>
        </w:rPr>
        <w:t xml:space="preserve"> </w:t>
      </w:r>
      <w:r w:rsidRPr="00366106">
        <w:rPr>
          <w:rFonts w:cs="Simplified Arabic" w:hint="cs"/>
          <w:szCs w:val="28"/>
          <w:rtl/>
          <w:lang/>
        </w:rPr>
        <w:t>النشط</w:t>
      </w:r>
      <w:r w:rsidRPr="00366106">
        <w:rPr>
          <w:rFonts w:cs="Simplified Arabic"/>
          <w:szCs w:val="28"/>
          <w:rtl/>
          <w:lang/>
        </w:rPr>
        <w:t xml:space="preserve"> (</w:t>
      </w:r>
      <w:r w:rsidRPr="00366106">
        <w:rPr>
          <w:rFonts w:cs="Simplified Arabic" w:hint="cs"/>
          <w:szCs w:val="28"/>
          <w:rtl/>
          <w:lang/>
        </w:rPr>
        <w:t>وان</w:t>
      </w:r>
      <w:r w:rsidRPr="00366106">
        <w:rPr>
          <w:rFonts w:cs="Simplified Arabic"/>
          <w:szCs w:val="28"/>
          <w:rtl/>
          <w:lang/>
        </w:rPr>
        <w:t xml:space="preserve"> </w:t>
      </w:r>
      <w:r w:rsidRPr="00366106">
        <w:rPr>
          <w:rFonts w:cs="Simplified Arabic" w:hint="cs"/>
          <w:szCs w:val="28"/>
          <w:rtl/>
          <w:lang/>
        </w:rPr>
        <w:t>ألفا</w:t>
      </w:r>
      <w:r w:rsidRPr="00366106">
        <w:rPr>
          <w:rFonts w:cs="Simplified Arabic"/>
          <w:szCs w:val="28"/>
          <w:rtl/>
          <w:lang/>
        </w:rPr>
        <w:t xml:space="preserve">) </w:t>
      </w:r>
      <w:r w:rsidRPr="00366106">
        <w:rPr>
          <w:rFonts w:cs="Simplified Arabic" w:hint="cs"/>
          <w:szCs w:val="28"/>
          <w:rtl/>
          <w:lang/>
        </w:rPr>
        <w:t>وقد</w:t>
      </w:r>
      <w:r w:rsidRPr="00366106">
        <w:rPr>
          <w:rFonts w:cs="Simplified Arabic"/>
          <w:szCs w:val="28"/>
          <w:rtl/>
          <w:lang/>
        </w:rPr>
        <w:t xml:space="preserve"> </w:t>
      </w:r>
      <w:r w:rsidRPr="00366106">
        <w:rPr>
          <w:rFonts w:cs="Simplified Arabic" w:hint="cs"/>
          <w:szCs w:val="28"/>
          <w:rtl/>
          <w:lang/>
        </w:rPr>
        <w:t>كانت</w:t>
      </w:r>
      <w:r w:rsidRPr="00366106">
        <w:rPr>
          <w:rFonts w:cs="Simplified Arabic"/>
          <w:szCs w:val="28"/>
          <w:rtl/>
          <w:lang/>
        </w:rPr>
        <w:t xml:space="preserve"> </w:t>
      </w:r>
      <w:r w:rsidRPr="00366106">
        <w:rPr>
          <w:rFonts w:cs="Simplified Arabic" w:hint="cs"/>
          <w:szCs w:val="28"/>
          <w:rtl/>
          <w:lang/>
        </w:rPr>
        <w:t>الإستجابة</w:t>
      </w:r>
      <w:r w:rsidRPr="00366106">
        <w:rPr>
          <w:rFonts w:cs="Simplified Arabic"/>
          <w:szCs w:val="28"/>
          <w:rtl/>
          <w:lang/>
        </w:rPr>
        <w:t xml:space="preserve"> </w:t>
      </w:r>
      <w:r w:rsidRPr="00366106">
        <w:rPr>
          <w:rFonts w:cs="Simplified Arabic" w:hint="cs"/>
          <w:szCs w:val="28"/>
          <w:rtl/>
          <w:lang/>
        </w:rPr>
        <w:t>ضعيفة</w:t>
      </w:r>
      <w:r w:rsidRPr="00366106">
        <w:rPr>
          <w:rFonts w:cs="Simplified Arabic"/>
          <w:szCs w:val="28"/>
          <w:rtl/>
          <w:lang/>
        </w:rPr>
        <w:t xml:space="preserve"> </w:t>
      </w:r>
      <w:r w:rsidRPr="00366106">
        <w:rPr>
          <w:rFonts w:cs="Simplified Arabic" w:hint="cs"/>
          <w:szCs w:val="28"/>
          <w:rtl/>
          <w:lang/>
        </w:rPr>
        <w:t>فى</w:t>
      </w:r>
      <w:r w:rsidRPr="00366106">
        <w:rPr>
          <w:rFonts w:cs="Simplified Arabic"/>
          <w:szCs w:val="28"/>
          <w:rtl/>
          <w:lang/>
        </w:rPr>
        <w:t xml:space="preserve"> </w:t>
      </w:r>
      <w:r w:rsidRPr="00366106">
        <w:rPr>
          <w:rFonts w:cs="Simplified Arabic" w:hint="cs"/>
          <w:szCs w:val="28"/>
          <w:rtl/>
          <w:lang/>
        </w:rPr>
        <w:t>ثلاثة</w:t>
      </w:r>
      <w:r w:rsidRPr="00366106">
        <w:rPr>
          <w:rFonts w:cs="Simplified Arabic"/>
          <w:szCs w:val="28"/>
          <w:rtl/>
          <w:lang/>
        </w:rPr>
        <w:t xml:space="preserve"> </w:t>
      </w:r>
      <w:r w:rsidRPr="00366106">
        <w:rPr>
          <w:rFonts w:cs="Simplified Arabic" w:hint="cs"/>
          <w:szCs w:val="28"/>
          <w:rtl/>
          <w:lang/>
        </w:rPr>
        <w:t>منهم</w:t>
      </w:r>
      <w:r w:rsidRPr="00366106">
        <w:rPr>
          <w:rFonts w:cs="Simplified Arabic"/>
          <w:szCs w:val="28"/>
          <w:rtl/>
          <w:lang/>
        </w:rPr>
        <w:t xml:space="preserve"> </w:t>
      </w:r>
      <w:r w:rsidRPr="00366106">
        <w:rPr>
          <w:rFonts w:cs="Simplified Arabic" w:hint="cs"/>
          <w:szCs w:val="28"/>
          <w:rtl/>
          <w:lang/>
        </w:rPr>
        <w:t>وجيدة</w:t>
      </w:r>
      <w:r w:rsidRPr="00366106">
        <w:rPr>
          <w:rFonts w:cs="Simplified Arabic"/>
          <w:szCs w:val="28"/>
          <w:rtl/>
          <w:lang/>
        </w:rPr>
        <w:t xml:space="preserve"> </w:t>
      </w:r>
      <w:r w:rsidRPr="00366106">
        <w:rPr>
          <w:rFonts w:cs="Simplified Arabic" w:hint="cs"/>
          <w:szCs w:val="28"/>
          <w:rtl/>
          <w:lang/>
        </w:rPr>
        <w:t>فى</w:t>
      </w:r>
      <w:r w:rsidRPr="00366106">
        <w:rPr>
          <w:rFonts w:cs="Simplified Arabic"/>
          <w:szCs w:val="28"/>
          <w:rtl/>
          <w:lang/>
        </w:rPr>
        <w:t xml:space="preserve"> </w:t>
      </w:r>
      <w:r w:rsidRPr="00366106">
        <w:rPr>
          <w:rFonts w:cs="Simplified Arabic" w:hint="cs"/>
          <w:szCs w:val="28"/>
          <w:rtl/>
          <w:lang/>
        </w:rPr>
        <w:t>حالة</w:t>
      </w:r>
      <w:r w:rsidRPr="00366106">
        <w:rPr>
          <w:rFonts w:cs="Simplified Arabic"/>
          <w:szCs w:val="28"/>
          <w:rtl/>
          <w:lang/>
        </w:rPr>
        <w:t xml:space="preserve"> </w:t>
      </w:r>
      <w:r w:rsidRPr="00366106">
        <w:rPr>
          <w:rFonts w:cs="Simplified Arabic" w:hint="cs"/>
          <w:szCs w:val="28"/>
          <w:rtl/>
          <w:lang/>
        </w:rPr>
        <w:t>واحدة</w:t>
      </w:r>
      <w:r w:rsidRPr="00366106">
        <w:rPr>
          <w:rFonts w:cs="Simplified Arabic"/>
          <w:szCs w:val="28"/>
          <w:rtl/>
          <w:lang/>
        </w:rPr>
        <w:t xml:space="preserve"> </w:t>
      </w:r>
      <w:r w:rsidRPr="00366106">
        <w:rPr>
          <w:rFonts w:cs="Simplified Arabic" w:hint="cs"/>
          <w:szCs w:val="28"/>
          <w:rtl/>
          <w:lang/>
        </w:rPr>
        <w:t>فقط</w:t>
      </w:r>
      <w:r w:rsidRPr="00366106">
        <w:rPr>
          <w:rFonts w:cs="Simplified Arabic"/>
          <w:szCs w:val="28"/>
          <w:rtl/>
          <w:lang/>
        </w:rPr>
        <w:t xml:space="preserve"> </w:t>
      </w:r>
      <w:r w:rsidRPr="00366106">
        <w:rPr>
          <w:rFonts w:cs="Simplified Arabic" w:hint="cs"/>
          <w:szCs w:val="28"/>
          <w:rtl/>
          <w:lang/>
        </w:rPr>
        <w:t>كما</w:t>
      </w:r>
      <w:r w:rsidRPr="00366106">
        <w:rPr>
          <w:rFonts w:cs="Simplified Arabic"/>
          <w:szCs w:val="28"/>
          <w:rtl/>
          <w:lang/>
        </w:rPr>
        <w:t xml:space="preserve"> </w:t>
      </w:r>
      <w:r w:rsidRPr="00366106">
        <w:rPr>
          <w:rFonts w:cs="Simplified Arabic" w:hint="cs"/>
          <w:szCs w:val="28"/>
          <w:rtl/>
          <w:lang/>
        </w:rPr>
        <w:t>شمل</w:t>
      </w:r>
      <w:r w:rsidRPr="00366106">
        <w:rPr>
          <w:rFonts w:cs="Simplified Arabic"/>
          <w:szCs w:val="28"/>
          <w:rtl/>
          <w:lang/>
        </w:rPr>
        <w:t xml:space="preserve"> </w:t>
      </w:r>
      <w:r w:rsidRPr="00366106">
        <w:rPr>
          <w:rFonts w:cs="Simplified Arabic" w:hint="cs"/>
          <w:szCs w:val="28"/>
          <w:rtl/>
          <w:lang/>
        </w:rPr>
        <w:t>البحث</w:t>
      </w:r>
      <w:r w:rsidRPr="00366106">
        <w:rPr>
          <w:rFonts w:cs="Simplified Arabic"/>
          <w:szCs w:val="28"/>
          <w:rtl/>
          <w:lang/>
        </w:rPr>
        <w:t xml:space="preserve"> </w:t>
      </w:r>
      <w:r w:rsidRPr="00366106">
        <w:rPr>
          <w:rFonts w:cs="Simplified Arabic" w:hint="cs"/>
          <w:szCs w:val="28"/>
          <w:rtl/>
          <w:lang/>
        </w:rPr>
        <w:t>عدد</w:t>
      </w:r>
      <w:r w:rsidRPr="00366106">
        <w:rPr>
          <w:rFonts w:cs="Simplified Arabic"/>
          <w:szCs w:val="28"/>
          <w:rtl/>
          <w:lang/>
        </w:rPr>
        <w:t xml:space="preserve"> </w:t>
      </w:r>
      <w:r w:rsidRPr="00366106">
        <w:rPr>
          <w:rFonts w:cs="Simplified Arabic" w:hint="cs"/>
          <w:szCs w:val="28"/>
          <w:rtl/>
          <w:lang/>
        </w:rPr>
        <w:t>تسع</w:t>
      </w:r>
      <w:r w:rsidRPr="00366106">
        <w:rPr>
          <w:rFonts w:cs="Simplified Arabic"/>
          <w:szCs w:val="28"/>
          <w:rtl/>
          <w:lang/>
        </w:rPr>
        <w:t xml:space="preserve"> </w:t>
      </w:r>
      <w:r w:rsidRPr="00366106">
        <w:rPr>
          <w:rFonts w:cs="Simplified Arabic" w:hint="cs"/>
          <w:szCs w:val="28"/>
          <w:rtl/>
          <w:lang/>
        </w:rPr>
        <w:t>حالات</w:t>
      </w:r>
      <w:r w:rsidRPr="00366106">
        <w:rPr>
          <w:rFonts w:cs="Simplified Arabic"/>
          <w:szCs w:val="28"/>
          <w:rtl/>
          <w:lang/>
        </w:rPr>
        <w:t xml:space="preserve"> </w:t>
      </w:r>
      <w:r w:rsidRPr="00366106">
        <w:rPr>
          <w:rFonts w:cs="Simplified Arabic" w:hint="cs"/>
          <w:szCs w:val="28"/>
          <w:rtl/>
          <w:lang/>
        </w:rPr>
        <w:t>نتيجة</w:t>
      </w:r>
      <w:r w:rsidRPr="00366106">
        <w:rPr>
          <w:rFonts w:cs="Simplified Arabic"/>
          <w:szCs w:val="28"/>
          <w:rtl/>
          <w:lang/>
        </w:rPr>
        <w:t xml:space="preserve"> </w:t>
      </w:r>
      <w:r w:rsidRPr="00366106">
        <w:rPr>
          <w:rFonts w:cs="Simplified Arabic" w:hint="cs"/>
          <w:szCs w:val="28"/>
          <w:rtl/>
          <w:lang/>
        </w:rPr>
        <w:t>نقص</w:t>
      </w:r>
      <w:r w:rsidRPr="00366106">
        <w:rPr>
          <w:rFonts w:cs="Simplified Arabic"/>
          <w:szCs w:val="28"/>
          <w:rtl/>
          <w:lang/>
        </w:rPr>
        <w:t xml:space="preserve"> </w:t>
      </w:r>
      <w:r w:rsidRPr="00366106">
        <w:rPr>
          <w:rFonts w:cs="Simplified Arabic" w:hint="cs"/>
          <w:szCs w:val="28"/>
          <w:rtl/>
          <w:lang/>
        </w:rPr>
        <w:t>الفوسفات</w:t>
      </w:r>
      <w:r w:rsidRPr="00366106">
        <w:rPr>
          <w:rFonts w:cs="Simplified Arabic"/>
          <w:szCs w:val="28"/>
          <w:rtl/>
          <w:lang/>
        </w:rPr>
        <w:t xml:space="preserve"> </w:t>
      </w:r>
      <w:r w:rsidRPr="00366106">
        <w:rPr>
          <w:rFonts w:cs="Simplified Arabic" w:hint="cs"/>
          <w:szCs w:val="28"/>
          <w:rtl/>
          <w:lang/>
        </w:rPr>
        <w:t>وقد</w:t>
      </w:r>
      <w:r w:rsidRPr="00366106">
        <w:rPr>
          <w:rFonts w:cs="Simplified Arabic"/>
          <w:szCs w:val="28"/>
          <w:rtl/>
          <w:lang/>
        </w:rPr>
        <w:t xml:space="preserve"> </w:t>
      </w:r>
      <w:r w:rsidRPr="00366106">
        <w:rPr>
          <w:rFonts w:cs="Simplified Arabic" w:hint="cs"/>
          <w:szCs w:val="28"/>
          <w:rtl/>
          <w:lang/>
        </w:rPr>
        <w:t>تم</w:t>
      </w:r>
      <w:r w:rsidRPr="00366106">
        <w:rPr>
          <w:rFonts w:cs="Simplified Arabic"/>
          <w:szCs w:val="28"/>
          <w:rtl/>
          <w:lang/>
        </w:rPr>
        <w:t xml:space="preserve"> </w:t>
      </w:r>
      <w:r w:rsidRPr="00366106">
        <w:rPr>
          <w:rFonts w:cs="Simplified Arabic" w:hint="cs"/>
          <w:szCs w:val="28"/>
          <w:rtl/>
          <w:lang/>
        </w:rPr>
        <w:t>علاجهم</w:t>
      </w:r>
      <w:r w:rsidRPr="00366106">
        <w:rPr>
          <w:rFonts w:cs="Simplified Arabic"/>
          <w:szCs w:val="28"/>
          <w:rtl/>
          <w:lang/>
        </w:rPr>
        <w:t xml:space="preserve"> </w:t>
      </w:r>
      <w:r w:rsidRPr="00366106">
        <w:rPr>
          <w:rFonts w:cs="Simplified Arabic" w:hint="cs"/>
          <w:szCs w:val="28"/>
          <w:rtl/>
          <w:lang/>
        </w:rPr>
        <w:t>باستخدام</w:t>
      </w:r>
      <w:r w:rsidRPr="00366106">
        <w:rPr>
          <w:rFonts w:cs="Simplified Arabic"/>
          <w:szCs w:val="28"/>
          <w:rtl/>
          <w:lang/>
        </w:rPr>
        <w:t xml:space="preserve"> </w:t>
      </w:r>
      <w:r w:rsidRPr="00366106">
        <w:rPr>
          <w:rFonts w:cs="Simplified Arabic" w:hint="cs"/>
          <w:szCs w:val="28"/>
          <w:rtl/>
          <w:lang/>
        </w:rPr>
        <w:t>مركبات</w:t>
      </w:r>
      <w:r w:rsidRPr="00366106">
        <w:rPr>
          <w:rFonts w:cs="Simplified Arabic"/>
          <w:szCs w:val="28"/>
          <w:rtl/>
          <w:lang/>
        </w:rPr>
        <w:t xml:space="preserve"> </w:t>
      </w:r>
      <w:r w:rsidRPr="00366106">
        <w:rPr>
          <w:rFonts w:cs="Simplified Arabic" w:hint="cs"/>
          <w:szCs w:val="28"/>
          <w:rtl/>
          <w:lang/>
        </w:rPr>
        <w:t>الفوسفات</w:t>
      </w:r>
      <w:r w:rsidRPr="00366106">
        <w:rPr>
          <w:rFonts w:cs="Simplified Arabic"/>
          <w:szCs w:val="28"/>
          <w:rtl/>
          <w:lang/>
        </w:rPr>
        <w:t xml:space="preserve"> </w:t>
      </w:r>
      <w:r w:rsidRPr="00366106">
        <w:rPr>
          <w:rFonts w:cs="Simplified Arabic" w:hint="cs"/>
          <w:szCs w:val="28"/>
          <w:rtl/>
          <w:lang/>
        </w:rPr>
        <w:t>وفيتامين</w:t>
      </w:r>
      <w:r w:rsidRPr="00366106">
        <w:rPr>
          <w:rFonts w:cs="Simplified Arabic"/>
          <w:szCs w:val="28"/>
          <w:rtl/>
          <w:lang/>
        </w:rPr>
        <w:t xml:space="preserve"> </w:t>
      </w:r>
      <w:r w:rsidRPr="00366106">
        <w:rPr>
          <w:rFonts w:cs="Simplified Arabic" w:hint="cs"/>
          <w:szCs w:val="28"/>
          <w:rtl/>
          <w:lang/>
        </w:rPr>
        <w:t>د</w:t>
      </w:r>
      <w:r w:rsidRPr="00366106">
        <w:rPr>
          <w:rFonts w:cs="Simplified Arabic"/>
          <w:szCs w:val="28"/>
          <w:rtl/>
          <w:lang/>
        </w:rPr>
        <w:t xml:space="preserve"> </w:t>
      </w:r>
      <w:r w:rsidRPr="00366106">
        <w:rPr>
          <w:rFonts w:cs="Simplified Arabic" w:hint="cs"/>
          <w:szCs w:val="28"/>
          <w:rtl/>
          <w:lang/>
        </w:rPr>
        <w:t>النشط</w:t>
      </w:r>
      <w:r w:rsidRPr="00366106">
        <w:rPr>
          <w:rFonts w:cs="Simplified Arabic"/>
          <w:szCs w:val="28"/>
          <w:rtl/>
          <w:lang/>
        </w:rPr>
        <w:t xml:space="preserve"> </w:t>
      </w:r>
      <w:r w:rsidRPr="00366106">
        <w:rPr>
          <w:rFonts w:cs="Simplified Arabic" w:hint="cs"/>
          <w:szCs w:val="28"/>
          <w:rtl/>
          <w:lang/>
        </w:rPr>
        <w:t>وقد</w:t>
      </w:r>
      <w:r w:rsidRPr="00366106">
        <w:rPr>
          <w:rFonts w:cs="Simplified Arabic"/>
          <w:szCs w:val="28"/>
          <w:rtl/>
          <w:lang/>
        </w:rPr>
        <w:t xml:space="preserve"> </w:t>
      </w:r>
      <w:r w:rsidRPr="00366106">
        <w:rPr>
          <w:rFonts w:cs="Simplified Arabic" w:hint="cs"/>
          <w:szCs w:val="28"/>
          <w:rtl/>
          <w:lang/>
        </w:rPr>
        <w:t>اظهروا</w:t>
      </w:r>
      <w:r w:rsidRPr="00366106">
        <w:rPr>
          <w:rFonts w:cs="Simplified Arabic"/>
          <w:szCs w:val="28"/>
          <w:rtl/>
          <w:lang/>
        </w:rPr>
        <w:t xml:space="preserve"> </w:t>
      </w:r>
      <w:r w:rsidRPr="00366106">
        <w:rPr>
          <w:rFonts w:cs="Simplified Arabic" w:hint="cs"/>
          <w:szCs w:val="28"/>
          <w:rtl/>
          <w:lang/>
        </w:rPr>
        <w:t>استجابة</w:t>
      </w:r>
      <w:r w:rsidRPr="00366106">
        <w:rPr>
          <w:rFonts w:cs="Simplified Arabic"/>
          <w:szCs w:val="28"/>
          <w:rtl/>
          <w:lang/>
        </w:rPr>
        <w:t xml:space="preserve"> </w:t>
      </w:r>
      <w:r w:rsidRPr="00366106">
        <w:rPr>
          <w:rFonts w:cs="Simplified Arabic" w:hint="cs"/>
          <w:szCs w:val="28"/>
          <w:rtl/>
          <w:lang/>
        </w:rPr>
        <w:t>متفاوتة</w:t>
      </w:r>
      <w:r w:rsidRPr="00366106">
        <w:rPr>
          <w:rFonts w:cs="Simplified Arabic"/>
          <w:szCs w:val="28"/>
          <w:rtl/>
          <w:lang/>
        </w:rPr>
        <w:t xml:space="preserve"> </w:t>
      </w:r>
      <w:r w:rsidRPr="00366106">
        <w:rPr>
          <w:rFonts w:cs="Simplified Arabic" w:hint="cs"/>
          <w:szCs w:val="28"/>
          <w:rtl/>
          <w:lang/>
        </w:rPr>
        <w:t>حيث</w:t>
      </w:r>
      <w:r w:rsidRPr="00366106">
        <w:rPr>
          <w:rFonts w:cs="Simplified Arabic"/>
          <w:szCs w:val="28"/>
          <w:rtl/>
          <w:lang/>
        </w:rPr>
        <w:t xml:space="preserve"> </w:t>
      </w:r>
      <w:r w:rsidRPr="00366106">
        <w:rPr>
          <w:rFonts w:cs="Simplified Arabic" w:hint="cs"/>
          <w:szCs w:val="28"/>
          <w:rtl/>
          <w:lang/>
        </w:rPr>
        <w:t>تحسنت</w:t>
      </w:r>
      <w:r w:rsidRPr="00366106">
        <w:rPr>
          <w:rFonts w:cs="Simplified Arabic"/>
          <w:szCs w:val="28"/>
          <w:rtl/>
          <w:lang/>
        </w:rPr>
        <w:t xml:space="preserve"> </w:t>
      </w:r>
      <w:r w:rsidRPr="00366106">
        <w:rPr>
          <w:rFonts w:cs="Simplified Arabic" w:hint="cs"/>
          <w:szCs w:val="28"/>
          <w:rtl/>
          <w:lang/>
        </w:rPr>
        <w:t>مظاهر</w:t>
      </w:r>
      <w:r w:rsidRPr="00366106">
        <w:rPr>
          <w:rFonts w:cs="Simplified Arabic"/>
          <w:szCs w:val="28"/>
          <w:rtl/>
          <w:lang/>
        </w:rPr>
        <w:t xml:space="preserve"> </w:t>
      </w:r>
      <w:r w:rsidRPr="00366106">
        <w:rPr>
          <w:rFonts w:cs="Simplified Arabic" w:hint="cs"/>
          <w:szCs w:val="28"/>
          <w:rtl/>
          <w:lang/>
        </w:rPr>
        <w:t>لين</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وتحسنت</w:t>
      </w:r>
      <w:r w:rsidRPr="00366106">
        <w:rPr>
          <w:rFonts w:cs="Simplified Arabic"/>
          <w:szCs w:val="28"/>
          <w:rtl/>
          <w:lang/>
        </w:rPr>
        <w:t xml:space="preserve"> </w:t>
      </w:r>
      <w:r w:rsidRPr="00366106">
        <w:rPr>
          <w:rFonts w:cs="Simplified Arabic" w:hint="cs"/>
          <w:szCs w:val="28"/>
          <w:rtl/>
          <w:lang/>
        </w:rPr>
        <w:t>الالآم</w:t>
      </w:r>
      <w:r w:rsidRPr="00366106">
        <w:rPr>
          <w:rFonts w:cs="Simplified Arabic"/>
          <w:szCs w:val="28"/>
          <w:rtl/>
          <w:lang/>
        </w:rPr>
        <w:t xml:space="preserve"> </w:t>
      </w:r>
      <w:r w:rsidRPr="00366106">
        <w:rPr>
          <w:rFonts w:cs="Simplified Arabic" w:hint="cs"/>
          <w:szCs w:val="28"/>
          <w:rtl/>
          <w:lang/>
        </w:rPr>
        <w:t>لكن</w:t>
      </w:r>
      <w:r w:rsidRPr="00366106">
        <w:rPr>
          <w:rFonts w:cs="Simplified Arabic"/>
          <w:szCs w:val="28"/>
          <w:rtl/>
          <w:lang/>
        </w:rPr>
        <w:t xml:space="preserve"> </w:t>
      </w:r>
      <w:r w:rsidRPr="00366106">
        <w:rPr>
          <w:rFonts w:cs="Simplified Arabic" w:hint="cs"/>
          <w:szCs w:val="28"/>
          <w:rtl/>
          <w:lang/>
        </w:rPr>
        <w:t>لم</w:t>
      </w:r>
      <w:r w:rsidRPr="00366106">
        <w:rPr>
          <w:rFonts w:cs="Simplified Arabic"/>
          <w:szCs w:val="28"/>
          <w:rtl/>
          <w:lang/>
        </w:rPr>
        <w:t xml:space="preserve"> </w:t>
      </w:r>
      <w:r w:rsidRPr="00366106">
        <w:rPr>
          <w:rFonts w:cs="Simplified Arabic" w:hint="cs"/>
          <w:szCs w:val="28"/>
          <w:rtl/>
          <w:lang/>
        </w:rPr>
        <w:t>يحدث</w:t>
      </w:r>
      <w:r w:rsidRPr="00366106">
        <w:rPr>
          <w:rFonts w:cs="Simplified Arabic"/>
          <w:szCs w:val="28"/>
          <w:rtl/>
          <w:lang/>
        </w:rPr>
        <w:t xml:space="preserve"> </w:t>
      </w:r>
      <w:r w:rsidRPr="00366106">
        <w:rPr>
          <w:rFonts w:cs="Simplified Arabic" w:hint="cs"/>
          <w:szCs w:val="28"/>
          <w:rtl/>
          <w:lang/>
        </w:rPr>
        <w:t>تحسن</w:t>
      </w:r>
      <w:r w:rsidRPr="00366106">
        <w:rPr>
          <w:rFonts w:cs="Simplified Arabic"/>
          <w:szCs w:val="28"/>
          <w:rtl/>
          <w:lang/>
        </w:rPr>
        <w:t xml:space="preserve"> </w:t>
      </w:r>
      <w:r w:rsidRPr="00366106">
        <w:rPr>
          <w:rFonts w:cs="Simplified Arabic" w:hint="cs"/>
          <w:szCs w:val="28"/>
          <w:rtl/>
          <w:lang/>
        </w:rPr>
        <w:t>فى</w:t>
      </w:r>
      <w:r w:rsidRPr="00366106">
        <w:rPr>
          <w:rFonts w:cs="Simplified Arabic"/>
          <w:szCs w:val="28"/>
          <w:rtl/>
          <w:lang/>
        </w:rPr>
        <w:t xml:space="preserve"> </w:t>
      </w:r>
      <w:r w:rsidRPr="00366106">
        <w:rPr>
          <w:rFonts w:cs="Simplified Arabic" w:hint="cs"/>
          <w:szCs w:val="28"/>
          <w:rtl/>
          <w:lang/>
        </w:rPr>
        <w:t>معدلات</w:t>
      </w:r>
      <w:r w:rsidRPr="00366106">
        <w:rPr>
          <w:rFonts w:cs="Simplified Arabic"/>
          <w:szCs w:val="28"/>
          <w:rtl/>
          <w:lang/>
        </w:rPr>
        <w:t xml:space="preserve"> </w:t>
      </w:r>
      <w:r w:rsidRPr="00366106">
        <w:rPr>
          <w:rFonts w:cs="Simplified Arabic" w:hint="cs"/>
          <w:szCs w:val="28"/>
          <w:rtl/>
          <w:lang/>
        </w:rPr>
        <w:t>النمو</w:t>
      </w:r>
      <w:r w:rsidRPr="00366106">
        <w:rPr>
          <w:rFonts w:cs="Simplified Arabic"/>
          <w:szCs w:val="28"/>
          <w:rtl/>
          <w:lang/>
        </w:rPr>
        <w:t xml:space="preserve"> </w:t>
      </w:r>
      <w:r w:rsidRPr="00366106">
        <w:rPr>
          <w:rFonts w:cs="Simplified Arabic" w:hint="cs"/>
          <w:szCs w:val="28"/>
          <w:rtl/>
          <w:lang/>
        </w:rPr>
        <w:t>والطول</w:t>
      </w:r>
      <w:r w:rsidRPr="00366106">
        <w:rPr>
          <w:rFonts w:cs="Simplified Arabic"/>
          <w:szCs w:val="28"/>
          <w:rtl/>
          <w:lang/>
        </w:rPr>
        <w:t>.</w:t>
      </w:r>
    </w:p>
    <w:p w:rsidR="00C35717" w:rsidRPr="00366106" w:rsidRDefault="00C35717" w:rsidP="00366106">
      <w:pPr>
        <w:bidi/>
        <w:spacing w:after="0" w:line="360" w:lineRule="auto"/>
        <w:ind w:firstLine="425"/>
        <w:jc w:val="both"/>
        <w:rPr>
          <w:rFonts w:cs="Simplified Arabic"/>
          <w:szCs w:val="28"/>
          <w:rtl/>
          <w:lang/>
        </w:rPr>
      </w:pPr>
      <w:r w:rsidRPr="00366106">
        <w:rPr>
          <w:rFonts w:cs="Simplified Arabic" w:hint="cs"/>
          <w:szCs w:val="28"/>
          <w:rtl/>
          <w:lang/>
        </w:rPr>
        <w:t>الخلاصة</w:t>
      </w:r>
      <w:r w:rsidRPr="00366106">
        <w:rPr>
          <w:rFonts w:cs="Simplified Arabic"/>
          <w:szCs w:val="28"/>
          <w:rtl/>
          <w:lang/>
        </w:rPr>
        <w:t>:</w:t>
      </w:r>
    </w:p>
    <w:p w:rsidR="00C35717" w:rsidRPr="00366106" w:rsidRDefault="00C35717" w:rsidP="00366106">
      <w:pPr>
        <w:pStyle w:val="ListParagraph"/>
        <w:bidi/>
        <w:spacing w:after="0" w:line="360" w:lineRule="auto"/>
        <w:ind w:left="0" w:firstLine="425"/>
        <w:jc w:val="both"/>
        <w:rPr>
          <w:rFonts w:cs="Simplified Arabic"/>
          <w:szCs w:val="28"/>
          <w:rtl/>
          <w:lang/>
        </w:rPr>
      </w:pPr>
      <w:r w:rsidRPr="00366106">
        <w:rPr>
          <w:rFonts w:cs="Simplified Arabic" w:hint="cs"/>
          <w:szCs w:val="28"/>
          <w:rtl/>
          <w:lang/>
        </w:rPr>
        <w:t>بينت</w:t>
      </w:r>
      <w:r w:rsidRPr="00366106">
        <w:rPr>
          <w:rFonts w:cs="Simplified Arabic"/>
          <w:szCs w:val="28"/>
          <w:rtl/>
          <w:lang/>
        </w:rPr>
        <w:t xml:space="preserve"> </w:t>
      </w:r>
      <w:r w:rsidRPr="00366106">
        <w:rPr>
          <w:rFonts w:cs="Simplified Arabic" w:hint="cs"/>
          <w:szCs w:val="28"/>
          <w:rtl/>
          <w:lang/>
        </w:rPr>
        <w:t>هذه</w:t>
      </w:r>
      <w:r w:rsidRPr="00366106">
        <w:rPr>
          <w:rFonts w:cs="Simplified Arabic"/>
          <w:szCs w:val="28"/>
          <w:rtl/>
          <w:lang/>
        </w:rPr>
        <w:t xml:space="preserve"> </w:t>
      </w:r>
      <w:r w:rsidRPr="00366106">
        <w:rPr>
          <w:rFonts w:cs="Simplified Arabic" w:hint="cs"/>
          <w:szCs w:val="28"/>
          <w:rtl/>
          <w:lang/>
        </w:rPr>
        <w:t>الدراسة</w:t>
      </w:r>
      <w:r w:rsidRPr="00366106">
        <w:rPr>
          <w:rFonts w:cs="Simplified Arabic"/>
          <w:szCs w:val="28"/>
          <w:rtl/>
          <w:lang/>
        </w:rPr>
        <w:t xml:space="preserve"> </w:t>
      </w:r>
      <w:r w:rsidRPr="00366106">
        <w:rPr>
          <w:rFonts w:cs="Simplified Arabic" w:hint="cs"/>
          <w:szCs w:val="28"/>
          <w:rtl/>
          <w:lang/>
        </w:rPr>
        <w:t>أهمية</w:t>
      </w:r>
      <w:r w:rsidRPr="00366106">
        <w:rPr>
          <w:rFonts w:cs="Simplified Arabic"/>
          <w:szCs w:val="28"/>
          <w:rtl/>
          <w:lang/>
        </w:rPr>
        <w:t xml:space="preserve"> </w:t>
      </w:r>
      <w:r w:rsidRPr="00366106">
        <w:rPr>
          <w:rFonts w:cs="Simplified Arabic" w:hint="cs"/>
          <w:szCs w:val="28"/>
          <w:rtl/>
          <w:lang/>
        </w:rPr>
        <w:t>التشخيص</w:t>
      </w:r>
      <w:r w:rsidRPr="00366106">
        <w:rPr>
          <w:rFonts w:cs="Simplified Arabic"/>
          <w:szCs w:val="28"/>
          <w:rtl/>
          <w:lang/>
        </w:rPr>
        <w:t xml:space="preserve"> </w:t>
      </w:r>
      <w:r w:rsidRPr="00366106">
        <w:rPr>
          <w:rFonts w:cs="Simplified Arabic" w:hint="cs"/>
          <w:szCs w:val="28"/>
          <w:rtl/>
          <w:lang/>
        </w:rPr>
        <w:t>المبكر</w:t>
      </w:r>
      <w:r w:rsidRPr="00366106">
        <w:rPr>
          <w:rFonts w:cs="Simplified Arabic"/>
          <w:szCs w:val="28"/>
          <w:rtl/>
          <w:lang/>
        </w:rPr>
        <w:t xml:space="preserve"> </w:t>
      </w:r>
      <w:r w:rsidRPr="00366106">
        <w:rPr>
          <w:rFonts w:cs="Simplified Arabic" w:hint="cs"/>
          <w:szCs w:val="28"/>
          <w:rtl/>
          <w:lang/>
        </w:rPr>
        <w:t>لأمراض</w:t>
      </w:r>
      <w:r w:rsidRPr="00366106">
        <w:rPr>
          <w:rFonts w:cs="Simplified Arabic"/>
          <w:szCs w:val="28"/>
          <w:rtl/>
          <w:lang/>
        </w:rPr>
        <w:t xml:space="preserve"> </w:t>
      </w:r>
      <w:r w:rsidRPr="00366106">
        <w:rPr>
          <w:rFonts w:cs="Simplified Arabic" w:hint="cs"/>
          <w:szCs w:val="28"/>
          <w:rtl/>
          <w:lang/>
        </w:rPr>
        <w:t>لين</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الأيضية</w:t>
      </w:r>
      <w:r w:rsidRPr="00366106">
        <w:rPr>
          <w:rFonts w:cs="Simplified Arabic"/>
          <w:szCs w:val="28"/>
          <w:rtl/>
          <w:lang/>
        </w:rPr>
        <w:t xml:space="preserve"> </w:t>
      </w:r>
      <w:r w:rsidRPr="00366106">
        <w:rPr>
          <w:rFonts w:cs="Simplified Arabic" w:hint="cs"/>
          <w:szCs w:val="28"/>
          <w:rtl/>
          <w:lang/>
        </w:rPr>
        <w:t>الوراثية</w:t>
      </w:r>
      <w:r w:rsidRPr="00366106">
        <w:rPr>
          <w:rFonts w:cs="Simplified Arabic"/>
          <w:szCs w:val="28"/>
          <w:rtl/>
          <w:lang/>
        </w:rPr>
        <w:t xml:space="preserve"> </w:t>
      </w:r>
      <w:r w:rsidRPr="00366106">
        <w:rPr>
          <w:rFonts w:cs="Simplified Arabic" w:hint="cs"/>
          <w:szCs w:val="28"/>
          <w:rtl/>
          <w:lang/>
        </w:rPr>
        <w:t>و</w:t>
      </w:r>
      <w:r w:rsidRPr="00366106">
        <w:rPr>
          <w:rFonts w:cs="Simplified Arabic"/>
          <w:szCs w:val="28"/>
          <w:rtl/>
          <w:lang/>
        </w:rPr>
        <w:t xml:space="preserve"> </w:t>
      </w:r>
      <w:r w:rsidRPr="00366106">
        <w:rPr>
          <w:rFonts w:cs="Simplified Arabic" w:hint="cs"/>
          <w:szCs w:val="28"/>
          <w:rtl/>
          <w:lang/>
        </w:rPr>
        <w:t>ينبغى</w:t>
      </w:r>
      <w:r w:rsidRPr="00366106">
        <w:rPr>
          <w:rFonts w:cs="Simplified Arabic"/>
          <w:szCs w:val="28"/>
          <w:rtl/>
          <w:lang/>
        </w:rPr>
        <w:t xml:space="preserve"> </w:t>
      </w:r>
      <w:r w:rsidRPr="00366106">
        <w:rPr>
          <w:rFonts w:cs="Simplified Arabic" w:hint="cs"/>
          <w:szCs w:val="28"/>
          <w:rtl/>
          <w:lang/>
        </w:rPr>
        <w:t>أن</w:t>
      </w:r>
      <w:r w:rsidRPr="00366106">
        <w:rPr>
          <w:rFonts w:cs="Simplified Arabic"/>
          <w:szCs w:val="28"/>
          <w:rtl/>
          <w:lang/>
        </w:rPr>
        <w:t xml:space="preserve"> </w:t>
      </w:r>
      <w:r w:rsidRPr="00366106">
        <w:rPr>
          <w:rFonts w:cs="Simplified Arabic" w:hint="cs"/>
          <w:szCs w:val="28"/>
          <w:rtl/>
          <w:lang/>
        </w:rPr>
        <w:t>يشتبه</w:t>
      </w:r>
      <w:r w:rsidRPr="00366106">
        <w:rPr>
          <w:rFonts w:cs="Simplified Arabic"/>
          <w:szCs w:val="28"/>
          <w:rtl/>
          <w:lang/>
        </w:rPr>
        <w:t xml:space="preserve"> </w:t>
      </w:r>
      <w:r w:rsidRPr="00366106">
        <w:rPr>
          <w:rFonts w:cs="Simplified Arabic" w:hint="cs"/>
          <w:szCs w:val="28"/>
          <w:rtl/>
          <w:lang/>
        </w:rPr>
        <w:t>في</w:t>
      </w:r>
      <w:r w:rsidRPr="00366106">
        <w:rPr>
          <w:rFonts w:cs="Simplified Arabic"/>
          <w:szCs w:val="28"/>
          <w:rtl/>
          <w:lang/>
        </w:rPr>
        <w:t xml:space="preserve"> </w:t>
      </w:r>
      <w:r w:rsidRPr="00366106">
        <w:rPr>
          <w:rFonts w:cs="Simplified Arabic" w:hint="cs"/>
          <w:szCs w:val="28"/>
          <w:rtl/>
          <w:lang/>
        </w:rPr>
        <w:t>الأطفال</w:t>
      </w:r>
      <w:r w:rsidRPr="00366106">
        <w:rPr>
          <w:rFonts w:cs="Simplified Arabic"/>
          <w:szCs w:val="28"/>
          <w:rtl/>
          <w:lang/>
        </w:rPr>
        <w:t xml:space="preserve"> </w:t>
      </w:r>
      <w:r w:rsidRPr="00366106">
        <w:rPr>
          <w:rFonts w:cs="Simplified Arabic" w:hint="cs"/>
          <w:szCs w:val="28"/>
          <w:rtl/>
          <w:lang/>
        </w:rPr>
        <w:t>فى</w:t>
      </w:r>
      <w:r w:rsidRPr="00366106">
        <w:rPr>
          <w:rFonts w:cs="Simplified Arabic"/>
          <w:szCs w:val="28"/>
          <w:rtl/>
          <w:lang/>
        </w:rPr>
        <w:t xml:space="preserve"> </w:t>
      </w:r>
      <w:r w:rsidRPr="00366106">
        <w:rPr>
          <w:rFonts w:cs="Simplified Arabic" w:hint="cs"/>
          <w:szCs w:val="28"/>
          <w:rtl/>
          <w:lang/>
        </w:rPr>
        <w:t>حالة</w:t>
      </w:r>
      <w:r w:rsidRPr="00366106">
        <w:rPr>
          <w:rFonts w:cs="Simplified Arabic"/>
          <w:szCs w:val="28"/>
          <w:rtl/>
          <w:lang/>
        </w:rPr>
        <w:t xml:space="preserve"> </w:t>
      </w:r>
      <w:r w:rsidRPr="00366106">
        <w:rPr>
          <w:rFonts w:cs="Simplified Arabic" w:hint="cs"/>
          <w:szCs w:val="28"/>
          <w:rtl/>
          <w:lang/>
        </w:rPr>
        <w:t>وجود</w:t>
      </w:r>
      <w:r w:rsidRPr="00366106">
        <w:rPr>
          <w:rFonts w:cs="Simplified Arabic"/>
          <w:szCs w:val="28"/>
          <w:rtl/>
          <w:lang/>
        </w:rPr>
        <w:t xml:space="preserve"> </w:t>
      </w:r>
      <w:r w:rsidRPr="00366106">
        <w:rPr>
          <w:rFonts w:cs="Simplified Arabic" w:hint="cs"/>
          <w:szCs w:val="28"/>
          <w:rtl/>
          <w:lang/>
        </w:rPr>
        <w:t>تأخر</w:t>
      </w:r>
      <w:r w:rsidRPr="00366106">
        <w:rPr>
          <w:rFonts w:cs="Simplified Arabic"/>
          <w:szCs w:val="28"/>
          <w:rtl/>
          <w:lang/>
        </w:rPr>
        <w:t xml:space="preserve"> </w:t>
      </w:r>
      <w:r w:rsidRPr="00366106">
        <w:rPr>
          <w:rFonts w:cs="Simplified Arabic" w:hint="cs"/>
          <w:szCs w:val="28"/>
          <w:rtl/>
          <w:lang/>
        </w:rPr>
        <w:t>في</w:t>
      </w:r>
      <w:r w:rsidRPr="00366106">
        <w:rPr>
          <w:rFonts w:cs="Simplified Arabic"/>
          <w:szCs w:val="28"/>
          <w:rtl/>
          <w:lang/>
        </w:rPr>
        <w:t xml:space="preserve"> </w:t>
      </w:r>
      <w:r w:rsidRPr="00366106">
        <w:rPr>
          <w:rFonts w:cs="Simplified Arabic" w:hint="cs"/>
          <w:szCs w:val="28"/>
          <w:rtl/>
          <w:lang/>
        </w:rPr>
        <w:t>النمو</w:t>
      </w:r>
      <w:r w:rsidRPr="00366106">
        <w:rPr>
          <w:rFonts w:cs="Simplified Arabic"/>
          <w:szCs w:val="28"/>
          <w:rtl/>
          <w:lang/>
        </w:rPr>
        <w:t xml:space="preserve"> </w:t>
      </w:r>
      <w:r w:rsidRPr="00366106">
        <w:rPr>
          <w:rFonts w:cs="Simplified Arabic" w:hint="cs"/>
          <w:szCs w:val="28"/>
          <w:rtl/>
          <w:lang/>
        </w:rPr>
        <w:t>وتشوهات</w:t>
      </w:r>
      <w:r w:rsidRPr="00366106">
        <w:rPr>
          <w:rFonts w:cs="Simplified Arabic"/>
          <w:szCs w:val="28"/>
          <w:rtl/>
          <w:lang/>
        </w:rPr>
        <w:t xml:space="preserve"> </w:t>
      </w:r>
      <w:r w:rsidRPr="00366106">
        <w:rPr>
          <w:rFonts w:cs="Simplified Arabic" w:hint="cs"/>
          <w:szCs w:val="28"/>
          <w:rtl/>
          <w:lang/>
        </w:rPr>
        <w:t>العظام</w:t>
      </w:r>
      <w:r w:rsidRPr="00366106">
        <w:rPr>
          <w:rFonts w:cs="Simplified Arabic"/>
          <w:szCs w:val="28"/>
          <w:rtl/>
          <w:lang/>
        </w:rPr>
        <w:t xml:space="preserve"> </w:t>
      </w:r>
      <w:r w:rsidRPr="00366106">
        <w:rPr>
          <w:rFonts w:cs="Simplified Arabic" w:hint="cs"/>
          <w:szCs w:val="28"/>
          <w:rtl/>
          <w:lang/>
        </w:rPr>
        <w:t>مع</w:t>
      </w:r>
      <w:r w:rsidRPr="00366106">
        <w:rPr>
          <w:rFonts w:cs="Simplified Arabic"/>
          <w:szCs w:val="28"/>
          <w:rtl/>
          <w:lang/>
        </w:rPr>
        <w:t xml:space="preserve"> </w:t>
      </w:r>
      <w:r w:rsidRPr="00366106">
        <w:rPr>
          <w:rFonts w:cs="Simplified Arabic" w:hint="cs"/>
          <w:szCs w:val="28"/>
          <w:rtl/>
          <w:lang/>
        </w:rPr>
        <w:t>ارتفاع</w:t>
      </w:r>
      <w:r w:rsidRPr="00366106">
        <w:rPr>
          <w:rFonts w:cs="Simplified Arabic"/>
          <w:szCs w:val="28"/>
          <w:rtl/>
          <w:lang/>
        </w:rPr>
        <w:t xml:space="preserve"> </w:t>
      </w:r>
      <w:r w:rsidRPr="00366106">
        <w:rPr>
          <w:rFonts w:cs="Simplified Arabic" w:hint="cs"/>
          <w:szCs w:val="28"/>
          <w:rtl/>
          <w:lang/>
        </w:rPr>
        <w:t>بمستوى</w:t>
      </w:r>
      <w:r w:rsidRPr="00366106">
        <w:rPr>
          <w:rFonts w:cs="Simplified Arabic"/>
          <w:szCs w:val="28"/>
          <w:rtl/>
          <w:lang/>
        </w:rPr>
        <w:t xml:space="preserve"> </w:t>
      </w:r>
      <w:r w:rsidRPr="00366106">
        <w:rPr>
          <w:rFonts w:cs="Simplified Arabic" w:hint="cs"/>
          <w:szCs w:val="28"/>
          <w:rtl/>
          <w:lang/>
        </w:rPr>
        <w:t>الألكالين</w:t>
      </w:r>
      <w:r w:rsidRPr="00366106">
        <w:rPr>
          <w:rFonts w:cs="Simplified Arabic"/>
          <w:szCs w:val="28"/>
          <w:rtl/>
          <w:lang/>
        </w:rPr>
        <w:t xml:space="preserve"> </w:t>
      </w:r>
      <w:r w:rsidRPr="00366106">
        <w:rPr>
          <w:rFonts w:cs="Simplified Arabic" w:hint="cs"/>
          <w:szCs w:val="28"/>
          <w:rtl/>
          <w:lang/>
        </w:rPr>
        <w:t>فوسفاتاز</w:t>
      </w:r>
      <w:r w:rsidRPr="00366106">
        <w:rPr>
          <w:rFonts w:cs="Simplified Arabic"/>
          <w:szCs w:val="28"/>
          <w:rtl/>
          <w:lang/>
        </w:rPr>
        <w:t xml:space="preserve"> </w:t>
      </w:r>
      <w:r w:rsidRPr="00366106">
        <w:rPr>
          <w:rFonts w:cs="Simplified Arabic" w:hint="cs"/>
          <w:szCs w:val="28"/>
          <w:rtl/>
          <w:lang/>
        </w:rPr>
        <w:t>مع</w:t>
      </w:r>
      <w:r w:rsidRPr="00366106">
        <w:rPr>
          <w:rFonts w:cs="Simplified Arabic"/>
          <w:szCs w:val="28"/>
          <w:rtl/>
          <w:lang/>
        </w:rPr>
        <w:t xml:space="preserve"> </w:t>
      </w:r>
      <w:r w:rsidRPr="00366106">
        <w:rPr>
          <w:rFonts w:cs="Simplified Arabic" w:hint="cs"/>
          <w:szCs w:val="28"/>
          <w:rtl/>
          <w:lang/>
        </w:rPr>
        <w:t>نقص</w:t>
      </w:r>
      <w:r w:rsidRPr="00366106">
        <w:rPr>
          <w:rFonts w:cs="Simplified Arabic"/>
          <w:szCs w:val="28"/>
          <w:rtl/>
          <w:lang/>
        </w:rPr>
        <w:t xml:space="preserve"> </w:t>
      </w:r>
      <w:r w:rsidRPr="00366106">
        <w:rPr>
          <w:rFonts w:cs="Simplified Arabic" w:hint="cs"/>
          <w:szCs w:val="28"/>
          <w:rtl/>
          <w:lang/>
        </w:rPr>
        <w:t>فى</w:t>
      </w:r>
      <w:r w:rsidRPr="00366106">
        <w:rPr>
          <w:rFonts w:cs="Simplified Arabic"/>
          <w:szCs w:val="28"/>
          <w:rtl/>
          <w:lang/>
        </w:rPr>
        <w:t xml:space="preserve"> </w:t>
      </w:r>
      <w:r w:rsidRPr="00366106">
        <w:rPr>
          <w:rFonts w:cs="Simplified Arabic" w:hint="cs"/>
          <w:szCs w:val="28"/>
          <w:rtl/>
          <w:lang/>
        </w:rPr>
        <w:t>الفوسفور</w:t>
      </w:r>
      <w:r w:rsidRPr="00366106">
        <w:rPr>
          <w:rFonts w:cs="Simplified Arabic"/>
          <w:szCs w:val="28"/>
          <w:rtl/>
          <w:lang/>
        </w:rPr>
        <w:t xml:space="preserve"> </w:t>
      </w:r>
      <w:r w:rsidRPr="00366106">
        <w:rPr>
          <w:rFonts w:cs="Simplified Arabic" w:hint="cs"/>
          <w:szCs w:val="28"/>
          <w:rtl/>
          <w:lang/>
        </w:rPr>
        <w:t>أو</w:t>
      </w:r>
      <w:r w:rsidRPr="00366106">
        <w:rPr>
          <w:rFonts w:cs="Simplified Arabic"/>
          <w:szCs w:val="28"/>
          <w:rtl/>
          <w:lang/>
        </w:rPr>
        <w:t xml:space="preserve"> </w:t>
      </w:r>
      <w:r w:rsidRPr="00366106">
        <w:rPr>
          <w:rFonts w:cs="Simplified Arabic" w:hint="cs"/>
          <w:szCs w:val="28"/>
          <w:rtl/>
          <w:lang/>
        </w:rPr>
        <w:t>الكالسيوم</w:t>
      </w:r>
      <w:r w:rsidRPr="00366106">
        <w:rPr>
          <w:rFonts w:cs="Simplified Arabic"/>
          <w:szCs w:val="28"/>
          <w:rtl/>
          <w:lang/>
        </w:rPr>
        <w:t xml:space="preserve">. </w:t>
      </w:r>
      <w:r w:rsidRPr="00366106">
        <w:rPr>
          <w:rFonts w:cs="Simplified Arabic" w:hint="cs"/>
          <w:szCs w:val="28"/>
          <w:rtl/>
          <w:lang/>
        </w:rPr>
        <w:t>كما</w:t>
      </w:r>
      <w:r w:rsidRPr="00366106">
        <w:rPr>
          <w:rFonts w:cs="Simplified Arabic"/>
          <w:szCs w:val="28"/>
          <w:rtl/>
          <w:lang/>
        </w:rPr>
        <w:t xml:space="preserve"> </w:t>
      </w:r>
      <w:r w:rsidRPr="00366106">
        <w:rPr>
          <w:rFonts w:cs="Simplified Arabic" w:hint="cs"/>
          <w:szCs w:val="28"/>
          <w:rtl/>
          <w:lang/>
        </w:rPr>
        <w:t>أكدت</w:t>
      </w:r>
      <w:r w:rsidRPr="00366106">
        <w:rPr>
          <w:rFonts w:cs="Simplified Arabic"/>
          <w:szCs w:val="28"/>
          <w:rtl/>
          <w:lang/>
        </w:rPr>
        <w:t xml:space="preserve"> </w:t>
      </w:r>
      <w:r w:rsidRPr="00366106">
        <w:rPr>
          <w:rFonts w:cs="Simplified Arabic" w:hint="cs"/>
          <w:szCs w:val="28"/>
          <w:rtl/>
          <w:lang/>
        </w:rPr>
        <w:t>على</w:t>
      </w:r>
      <w:r w:rsidRPr="00366106">
        <w:rPr>
          <w:rFonts w:cs="Simplified Arabic"/>
          <w:szCs w:val="28"/>
          <w:rtl/>
          <w:lang/>
        </w:rPr>
        <w:t xml:space="preserve"> </w:t>
      </w:r>
      <w:r w:rsidRPr="00366106">
        <w:rPr>
          <w:rFonts w:cs="Simplified Arabic" w:hint="cs"/>
          <w:szCs w:val="28"/>
          <w:rtl/>
          <w:lang/>
        </w:rPr>
        <w:t>ضرورة</w:t>
      </w:r>
      <w:r w:rsidRPr="00366106">
        <w:rPr>
          <w:rFonts w:cs="Simplified Arabic"/>
          <w:szCs w:val="28"/>
          <w:rtl/>
          <w:lang/>
        </w:rPr>
        <w:t xml:space="preserve"> </w:t>
      </w:r>
      <w:r w:rsidRPr="00366106">
        <w:rPr>
          <w:rFonts w:cs="Simplified Arabic" w:hint="cs"/>
          <w:szCs w:val="28"/>
          <w:rtl/>
          <w:lang/>
        </w:rPr>
        <w:t>علاجها</w:t>
      </w:r>
      <w:r w:rsidRPr="00366106">
        <w:rPr>
          <w:rFonts w:cs="Simplified Arabic"/>
          <w:szCs w:val="28"/>
          <w:rtl/>
          <w:lang/>
        </w:rPr>
        <w:t xml:space="preserve"> </w:t>
      </w:r>
      <w:r w:rsidRPr="00366106">
        <w:rPr>
          <w:rFonts w:cs="Simplified Arabic" w:hint="cs"/>
          <w:szCs w:val="28"/>
          <w:rtl/>
          <w:lang/>
        </w:rPr>
        <w:t>من</w:t>
      </w:r>
      <w:r w:rsidRPr="00366106">
        <w:rPr>
          <w:rFonts w:cs="Simplified Arabic"/>
          <w:szCs w:val="28"/>
          <w:rtl/>
          <w:lang/>
        </w:rPr>
        <w:t xml:space="preserve"> </w:t>
      </w:r>
      <w:r w:rsidRPr="00366106">
        <w:rPr>
          <w:rFonts w:cs="Simplified Arabic" w:hint="cs"/>
          <w:szCs w:val="28"/>
          <w:rtl/>
          <w:lang/>
        </w:rPr>
        <w:t>قبل</w:t>
      </w:r>
      <w:r w:rsidRPr="00366106">
        <w:rPr>
          <w:rFonts w:cs="Simplified Arabic"/>
          <w:szCs w:val="28"/>
          <w:rtl/>
          <w:lang/>
        </w:rPr>
        <w:t xml:space="preserve"> </w:t>
      </w:r>
      <w:r w:rsidRPr="00366106">
        <w:rPr>
          <w:rFonts w:cs="Simplified Arabic" w:hint="cs"/>
          <w:szCs w:val="28"/>
          <w:rtl/>
          <w:lang/>
        </w:rPr>
        <w:t>المتخصصين</w:t>
      </w:r>
      <w:r w:rsidRPr="00366106">
        <w:rPr>
          <w:rFonts w:cs="Simplified Arabic"/>
          <w:szCs w:val="28"/>
          <w:rtl/>
          <w:lang/>
        </w:rPr>
        <w:t xml:space="preserve"> </w:t>
      </w:r>
      <w:r w:rsidRPr="00366106">
        <w:rPr>
          <w:rFonts w:cs="Simplified Arabic" w:hint="cs"/>
          <w:szCs w:val="28"/>
          <w:rtl/>
          <w:lang/>
        </w:rPr>
        <w:t>وذلك</w:t>
      </w:r>
      <w:r w:rsidRPr="00366106">
        <w:rPr>
          <w:rFonts w:cs="Simplified Arabic"/>
          <w:szCs w:val="28"/>
          <w:rtl/>
          <w:lang/>
        </w:rPr>
        <w:t xml:space="preserve"> </w:t>
      </w:r>
      <w:r w:rsidRPr="00366106">
        <w:rPr>
          <w:rFonts w:cs="Simplified Arabic" w:hint="cs"/>
          <w:szCs w:val="28"/>
          <w:rtl/>
          <w:lang/>
        </w:rPr>
        <w:t>قبل</w:t>
      </w:r>
      <w:r w:rsidRPr="00366106">
        <w:rPr>
          <w:rFonts w:cs="Simplified Arabic"/>
          <w:szCs w:val="28"/>
          <w:rtl/>
          <w:lang/>
        </w:rPr>
        <w:t xml:space="preserve"> </w:t>
      </w:r>
      <w:r w:rsidRPr="00366106">
        <w:rPr>
          <w:rFonts w:cs="Simplified Arabic" w:hint="cs"/>
          <w:szCs w:val="28"/>
          <w:rtl/>
          <w:lang/>
        </w:rPr>
        <w:t>حدوث</w:t>
      </w:r>
      <w:r w:rsidRPr="00366106">
        <w:rPr>
          <w:rFonts w:cs="Simplified Arabic"/>
          <w:szCs w:val="28"/>
          <w:rtl/>
          <w:lang/>
        </w:rPr>
        <w:t xml:space="preserve"> </w:t>
      </w:r>
      <w:r w:rsidRPr="00366106">
        <w:rPr>
          <w:rFonts w:cs="Simplified Arabic" w:hint="cs"/>
          <w:szCs w:val="28"/>
          <w:rtl/>
          <w:lang/>
        </w:rPr>
        <w:t>تشوهات</w:t>
      </w:r>
      <w:r w:rsidRPr="00366106">
        <w:rPr>
          <w:rFonts w:cs="Simplified Arabic"/>
          <w:szCs w:val="28"/>
          <w:rtl/>
          <w:lang/>
        </w:rPr>
        <w:t xml:space="preserve"> </w:t>
      </w:r>
      <w:r w:rsidRPr="00366106">
        <w:rPr>
          <w:rFonts w:cs="Simplified Arabic" w:hint="cs"/>
          <w:szCs w:val="28"/>
          <w:rtl/>
          <w:lang/>
        </w:rPr>
        <w:t>عظمية</w:t>
      </w:r>
      <w:r w:rsidRPr="00366106">
        <w:rPr>
          <w:rFonts w:cs="Simplified Arabic"/>
          <w:szCs w:val="28"/>
          <w:rtl/>
          <w:lang/>
        </w:rPr>
        <w:t xml:space="preserve"> </w:t>
      </w:r>
      <w:r w:rsidRPr="00366106">
        <w:rPr>
          <w:rFonts w:cs="Simplified Arabic" w:hint="cs"/>
          <w:szCs w:val="28"/>
          <w:rtl/>
          <w:lang/>
        </w:rPr>
        <w:t>يصعب</w:t>
      </w:r>
      <w:r w:rsidRPr="00366106">
        <w:rPr>
          <w:rFonts w:cs="Simplified Arabic"/>
          <w:szCs w:val="28"/>
          <w:rtl/>
          <w:lang/>
        </w:rPr>
        <w:t xml:space="preserve"> </w:t>
      </w:r>
      <w:r w:rsidRPr="00366106">
        <w:rPr>
          <w:rFonts w:cs="Simplified Arabic" w:hint="cs"/>
          <w:szCs w:val="28"/>
          <w:rtl/>
          <w:lang/>
        </w:rPr>
        <w:t>علاجها</w:t>
      </w:r>
      <w:r w:rsidRPr="00366106">
        <w:rPr>
          <w:rFonts w:cs="Simplified Arabic"/>
          <w:szCs w:val="28"/>
          <w:rtl/>
          <w:lang/>
        </w:rPr>
        <w:t xml:space="preserve"> </w:t>
      </w:r>
      <w:r w:rsidRPr="00366106">
        <w:rPr>
          <w:rFonts w:cs="Simplified Arabic" w:hint="cs"/>
          <w:szCs w:val="28"/>
          <w:rtl/>
          <w:lang/>
        </w:rPr>
        <w:t>أوتحتاج</w:t>
      </w:r>
      <w:r w:rsidRPr="00366106">
        <w:rPr>
          <w:rFonts w:cs="Simplified Arabic"/>
          <w:szCs w:val="28"/>
          <w:rtl/>
          <w:lang/>
        </w:rPr>
        <w:t xml:space="preserve"> </w:t>
      </w:r>
      <w:r w:rsidRPr="00366106">
        <w:rPr>
          <w:rFonts w:cs="Simplified Arabic" w:hint="cs"/>
          <w:szCs w:val="28"/>
          <w:rtl/>
          <w:lang/>
        </w:rPr>
        <w:t>لتدخل</w:t>
      </w:r>
      <w:r w:rsidRPr="00366106">
        <w:rPr>
          <w:rFonts w:cs="Simplified Arabic"/>
          <w:szCs w:val="28"/>
          <w:rtl/>
          <w:lang/>
        </w:rPr>
        <w:t xml:space="preserve"> </w:t>
      </w:r>
      <w:r w:rsidRPr="00366106">
        <w:rPr>
          <w:rFonts w:cs="Simplified Arabic" w:hint="cs"/>
          <w:szCs w:val="28"/>
          <w:rtl/>
          <w:lang/>
        </w:rPr>
        <w:t>جراحى</w:t>
      </w:r>
      <w:r w:rsidRPr="00366106">
        <w:rPr>
          <w:rFonts w:cs="Simplified Arabic"/>
          <w:szCs w:val="28"/>
          <w:rtl/>
          <w:lang/>
        </w:rPr>
        <w:t>.</w:t>
      </w:r>
    </w:p>
    <w:p w:rsidR="00C35717" w:rsidRPr="00366106" w:rsidRDefault="00C35717" w:rsidP="00366106">
      <w:pPr>
        <w:pStyle w:val="ListParagraph"/>
        <w:bidi/>
        <w:spacing w:after="0" w:line="360" w:lineRule="auto"/>
        <w:ind w:left="0" w:firstLine="425"/>
        <w:jc w:val="both"/>
        <w:rPr>
          <w:rFonts w:cs="Simplified Arabic"/>
          <w:szCs w:val="28"/>
          <w:lang/>
        </w:rPr>
      </w:pPr>
      <w:r w:rsidRPr="00366106">
        <w:rPr>
          <w:rFonts w:cs="Simplified Arabic"/>
          <w:szCs w:val="28"/>
          <w:lang/>
        </w:rPr>
        <w:t>Abstract</w:t>
      </w:r>
    </w:p>
    <w:p w:rsidR="00C35717" w:rsidRPr="00366106" w:rsidRDefault="00C35717" w:rsidP="00366106">
      <w:pPr>
        <w:autoSpaceDE w:val="0"/>
        <w:autoSpaceDN w:val="0"/>
        <w:adjustRightInd w:val="0"/>
        <w:spacing w:after="0" w:line="360" w:lineRule="auto"/>
        <w:ind w:firstLine="425"/>
        <w:jc w:val="both"/>
        <w:rPr>
          <w:rFonts w:eastAsia="ScalaLancetPro" w:cs="Simplified Arabic"/>
          <w:szCs w:val="28"/>
          <w:lang/>
        </w:rPr>
      </w:pPr>
      <w:r w:rsidRPr="00366106">
        <w:rPr>
          <w:rFonts w:cs="Simplified Arabic"/>
          <w:szCs w:val="28"/>
          <w:lang/>
        </w:rPr>
        <w:t xml:space="preserve">Rickets is the clinical consequence of impaired mineralization of bone matrix throughout the growing skeleton. </w:t>
      </w:r>
      <w:r w:rsidRPr="00366106">
        <w:rPr>
          <w:rFonts w:eastAsia="ScalaLancetPro" w:cs="Simplified Arabic"/>
          <w:szCs w:val="28"/>
          <w:lang/>
        </w:rPr>
        <w:t>Rickets is one of the most common non-communicable diseases of children in the developing world (Craviari et al., 2008).</w:t>
      </w:r>
    </w:p>
    <w:p w:rsidR="00C35717" w:rsidRPr="00366106" w:rsidRDefault="00C35717" w:rsidP="00366106">
      <w:pPr>
        <w:spacing w:after="0" w:line="360" w:lineRule="auto"/>
        <w:ind w:firstLine="425"/>
        <w:jc w:val="both"/>
        <w:rPr>
          <w:rFonts w:eastAsia="Meta" w:cs="Simplified Arabic"/>
          <w:szCs w:val="28"/>
          <w:lang/>
        </w:rPr>
      </w:pPr>
      <w:r w:rsidRPr="00366106">
        <w:rPr>
          <w:rFonts w:eastAsia="Meta" w:cs="Simplified Arabic"/>
          <w:szCs w:val="28"/>
          <w:lang/>
        </w:rPr>
        <w:t>Although nutritional rickets is the most common type of this disease, there are several other forms, including genetic disorders of vitamin D metabolism or phosphate transport. Although rare, hereditary hypophosphataemic rickets is the most common form of heritable rickets (</w:t>
      </w:r>
      <w:r w:rsidRPr="00366106">
        <w:rPr>
          <w:rFonts w:eastAsia="MetaPlus" w:cs="Simplified Arabic"/>
          <w:szCs w:val="28"/>
          <w:lang/>
        </w:rPr>
        <w:t>Caetano et al., 2012)</w:t>
      </w:r>
      <w:r w:rsidRPr="00366106">
        <w:rPr>
          <w:rFonts w:eastAsia="Meta" w:cs="Simplified Arabic"/>
          <w:szCs w:val="28"/>
          <w:lang/>
        </w:rPr>
        <w:t>.</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Patients and Methods</w:t>
      </w:r>
      <w:r w:rsidRPr="00366106">
        <w:rPr>
          <w:rFonts w:cs="Simplified Arabic"/>
          <w:szCs w:val="28"/>
          <w:rtl/>
          <w:lang/>
        </w:rPr>
        <w:t>:</w:t>
      </w:r>
      <w:r w:rsidRPr="00366106">
        <w:rPr>
          <w:rFonts w:cs="Simplified Arabic"/>
          <w:szCs w:val="28"/>
          <w:lang/>
        </w:rPr>
        <w:t xml:space="preserve"> This descriptive and prospective study included 13 Egyptian children with hereditary rickets who were recruited from the Limb Malformations and Skeletal Dysplasia Clinic, National Research Centre from January 2010 to December 2012.  They were classified into calcipenic and phosphopenic rickets according to basal calcium and phosphorous serum levels and received medications accordingly.</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 xml:space="preserve">Results: </w:t>
      </w:r>
      <w:r w:rsidRPr="00366106">
        <w:rPr>
          <w:rFonts w:eastAsia="Meta" w:cs="Simplified Arabic"/>
          <w:szCs w:val="28"/>
          <w:lang/>
        </w:rPr>
        <w:t xml:space="preserve">Thirteen children with hereditary rickets were studied, with a median age at presentation of 3years (IQR 2.0- 4.3) four of which were calcipenic (30.8%) and nine cases were hypophosphatemic rickets (69.2%). </w:t>
      </w:r>
      <w:r w:rsidRPr="00366106">
        <w:rPr>
          <w:rFonts w:cs="Simplified Arabic"/>
          <w:szCs w:val="28"/>
          <w:lang/>
        </w:rPr>
        <w:t xml:space="preserve">All patients had bone deformities mainly bowing of legs with genu valgum, bony pain and broad wrists and ankles. Growth retardation was present in all patients except two with hypophosphatemic rickets. </w:t>
      </w:r>
      <w:r w:rsidRPr="00366106">
        <w:rPr>
          <w:rFonts w:eastAsia="Meta" w:cs="Simplified Arabic"/>
          <w:szCs w:val="28"/>
          <w:lang/>
        </w:rPr>
        <w:t xml:space="preserve">One patient of calcipenic rickets showed </w:t>
      </w:r>
      <w:r w:rsidRPr="00366106">
        <w:rPr>
          <w:rFonts w:eastAsia="ScalaLancetPro" w:cs="Simplified Arabic"/>
          <w:szCs w:val="28"/>
          <w:lang/>
        </w:rPr>
        <w:t xml:space="preserve">clinical and laboratory improvement thus suggesting the diagnosis of  </w:t>
      </w:r>
      <w:r w:rsidRPr="00366106">
        <w:rPr>
          <w:rFonts w:cs="Simplified Arabic"/>
          <w:szCs w:val="28"/>
          <w:lang/>
        </w:rPr>
        <w:t>1α-Hydroxylase Deficiency</w:t>
      </w:r>
      <w:r w:rsidRPr="00366106">
        <w:rPr>
          <w:rFonts w:eastAsia="ScalaLancetPro" w:cs="Simplified Arabic"/>
          <w:szCs w:val="28"/>
          <w:lang/>
        </w:rPr>
        <w:t xml:space="preserve">, however the other 3 patients were resistant to treatment and one of them had alopecia totalis with the most severe clinical phenotype indicating the diagnosis of </w:t>
      </w:r>
      <w:r w:rsidRPr="00366106">
        <w:rPr>
          <w:rFonts w:cs="Simplified Arabic"/>
          <w:szCs w:val="28"/>
          <w:lang/>
        </w:rPr>
        <w:t xml:space="preserve">hereditary vitamin D-resistant rickets (HVDRR). Nine patients had </w:t>
      </w:r>
      <w:r w:rsidRPr="00366106">
        <w:rPr>
          <w:rFonts w:eastAsia="Meta" w:cs="Simplified Arabic"/>
          <w:szCs w:val="28"/>
          <w:lang/>
        </w:rPr>
        <w:t xml:space="preserve">hypophosphatemic rickets. They were treated with calcitriol </w:t>
      </w:r>
      <w:r w:rsidRPr="00366106">
        <w:rPr>
          <w:rFonts w:cs="Simplified Arabic"/>
          <w:szCs w:val="28"/>
          <w:lang/>
        </w:rPr>
        <w:t xml:space="preserve">at a dose of 0.5µ/kg/day </w:t>
      </w:r>
      <w:r w:rsidRPr="00366106">
        <w:rPr>
          <w:rFonts w:eastAsia="Meta" w:cs="Simplified Arabic"/>
          <w:szCs w:val="28"/>
          <w:lang/>
        </w:rPr>
        <w:t xml:space="preserve">and oral phosphorous. </w:t>
      </w:r>
      <w:r w:rsidRPr="00366106">
        <w:rPr>
          <w:rFonts w:cs="Simplified Arabic"/>
          <w:szCs w:val="28"/>
          <w:lang/>
        </w:rPr>
        <w:t xml:space="preserve">Improvement in bony pains and rachitic manifestations was noted but no improvement was detected in growth in the short cases. </w:t>
      </w:r>
      <w:r w:rsidRPr="00366106">
        <w:rPr>
          <w:rFonts w:eastAsia="Meta" w:cs="Simplified Arabic"/>
          <w:szCs w:val="28"/>
          <w:lang/>
        </w:rPr>
        <w:t xml:space="preserve">Two patients developed secondary hyperparathyroidism due to </w:t>
      </w:r>
      <w:r w:rsidRPr="00366106">
        <w:rPr>
          <w:rFonts w:cs="Simplified Arabic"/>
          <w:szCs w:val="28"/>
          <w:lang/>
        </w:rPr>
        <w:t>overtreatment with phosphorous.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 xml:space="preserve">Conclusion:  </w:t>
      </w:r>
      <w:r w:rsidRPr="00366106">
        <w:rPr>
          <w:rFonts w:eastAsia="Meta" w:cs="Simplified Arabic"/>
          <w:szCs w:val="28"/>
          <w:lang/>
        </w:rPr>
        <w:t>Hereditary rickets comprise a rare group of metabolic bone disorders with significant long-term morbidity. They should be suspected in children presenting with short stature, developmental delay and orthopedic abnormalities with increased alkaline phosphatase, low serum phosphorus or calcium which confirm the diagnosis. Early diagnosis and treatment are essential to minimize morbidity in children.</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Keywords: hereditary rickets – calcipenic - hypophosphatemic –vitamin D– children.</w:t>
      </w:r>
    </w:p>
    <w:p w:rsidR="00C35717" w:rsidRPr="00366106" w:rsidRDefault="00C35717" w:rsidP="00366106">
      <w:pPr>
        <w:autoSpaceDE w:val="0"/>
        <w:autoSpaceDN w:val="0"/>
        <w:adjustRightInd w:val="0"/>
        <w:spacing w:after="0" w:line="360" w:lineRule="auto"/>
        <w:ind w:firstLine="425"/>
        <w:jc w:val="both"/>
        <w:rPr>
          <w:rFonts w:eastAsia="ScalaLancetPro" w:cs="Simplified Arabic"/>
          <w:szCs w:val="28"/>
          <w:lang/>
        </w:rPr>
      </w:pPr>
      <w:r w:rsidRPr="00366106">
        <w:rPr>
          <w:rFonts w:eastAsia="ScalaLancetPro" w:cs="Simplified Arabic"/>
          <w:szCs w:val="28"/>
          <w:lang/>
        </w:rPr>
        <w:t>Introduction</w:t>
      </w:r>
    </w:p>
    <w:p w:rsidR="00C35717" w:rsidRPr="00366106" w:rsidRDefault="00C35717" w:rsidP="00366106">
      <w:pPr>
        <w:autoSpaceDE w:val="0"/>
        <w:autoSpaceDN w:val="0"/>
        <w:adjustRightInd w:val="0"/>
        <w:spacing w:after="0" w:line="360" w:lineRule="auto"/>
        <w:ind w:firstLine="425"/>
        <w:jc w:val="both"/>
        <w:rPr>
          <w:rFonts w:eastAsia="Arial Unicode MS" w:cs="Simplified Arabic"/>
          <w:szCs w:val="28"/>
          <w:lang/>
        </w:rPr>
      </w:pPr>
      <w:r w:rsidRPr="00366106">
        <w:rPr>
          <w:rFonts w:eastAsia="Arial Unicode MS" w:cs="Simplified Arabic"/>
          <w:szCs w:val="28"/>
          <w:lang/>
        </w:rPr>
        <w:t>Rickets is the clinical consequence of impaired mineralization of matrix throughout a growing skeleton. Infants, children and adolescents can be affected. Osteomalacia results from this disturbance after growth plates fuse (i.e. adulthood) (Whyte and Thakker, 2013).</w:t>
      </w:r>
    </w:p>
    <w:p w:rsidR="00C35717" w:rsidRPr="00366106" w:rsidRDefault="00C35717" w:rsidP="00366106">
      <w:pPr>
        <w:autoSpaceDE w:val="0"/>
        <w:autoSpaceDN w:val="0"/>
        <w:adjustRightInd w:val="0"/>
        <w:spacing w:after="0" w:line="360" w:lineRule="auto"/>
        <w:ind w:firstLine="425"/>
        <w:jc w:val="both"/>
        <w:rPr>
          <w:rFonts w:eastAsia="ScalaLancetPro" w:cs="Simplified Arabic"/>
          <w:szCs w:val="28"/>
          <w:lang/>
        </w:rPr>
      </w:pPr>
      <w:r w:rsidRPr="00366106">
        <w:rPr>
          <w:rFonts w:cs="Simplified Arabic"/>
          <w:szCs w:val="28"/>
          <w:lang/>
        </w:rPr>
        <w:t xml:space="preserve">The major problems of rickets in childhood are growth retardation and bone deformity. In contrast, adult patients with osteomalacia present with muscle weakness and bone pain (Sahay &amp; Sahay, 2013). </w:t>
      </w:r>
      <w:r w:rsidRPr="00366106">
        <w:rPr>
          <w:rFonts w:eastAsia="ScalaLancetPro" w:cs="Simplified Arabic"/>
          <w:szCs w:val="28"/>
          <w:lang/>
        </w:rPr>
        <w:t>Lower limb deformities such as bow-legs, knock-knees can cause pronounced disability. Long-term effects on skeletal health can occur with reduced bone size and mass predisposing to osteoporotic fracture later in life (</w:t>
      </w:r>
      <w:r w:rsidRPr="00366106">
        <w:rPr>
          <w:rFonts w:cs="Simplified Arabic"/>
          <w:szCs w:val="28"/>
          <w:lang/>
        </w:rPr>
        <w:t>Elder &amp; Bishop, 2014)</w:t>
      </w:r>
      <w:r w:rsidRPr="00366106">
        <w:rPr>
          <w:rFonts w:eastAsia="ScalaLancetPro" w:cs="Simplified Arabic"/>
          <w:szCs w:val="28"/>
          <w:lang/>
        </w:rPr>
        <w:t>.</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cs="Simplified Arabic"/>
          <w:szCs w:val="28"/>
          <w:lang/>
        </w:rPr>
        <w:t xml:space="preserve">Rickets can be classified broadly as calcipenic or phosphopenic. </w:t>
      </w:r>
      <w:r w:rsidRPr="00366106">
        <w:rPr>
          <w:rFonts w:eastAsia="Meta" w:cs="Simplified Arabic"/>
          <w:szCs w:val="28"/>
          <w:lang/>
        </w:rPr>
        <w:t>While the skeletal findings are similar for both, the extraskeletal manifestations of rickets vary depending upon the primary mineral deficiency (</w:t>
      </w:r>
      <w:r w:rsidRPr="00366106">
        <w:rPr>
          <w:rFonts w:eastAsia="MetaPlus" w:cs="Simplified Arabic"/>
          <w:szCs w:val="28"/>
          <w:lang/>
        </w:rPr>
        <w:t>Caetano et al., 2012)</w:t>
      </w:r>
      <w:r w:rsidRPr="00366106">
        <w:rPr>
          <w:rFonts w:eastAsia="Meta" w:cs="Simplified Arabic"/>
          <w:szCs w:val="28"/>
          <w:lang/>
        </w:rPr>
        <w:t>.</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 xml:space="preserve"> Calcipenic rickets is often associated with low serum calcium levels, while phosphopenic rickets is characterized by low serum levels of phosphorus. Calcipenic rickets is caused by calcium deficiency, which is usually due to insufficient intake or metabolism of vitamin D, or in some cases due to inadequate intake or absorption of calcium (Misra et al., 2008; Sahay &amp; Sahay, 2012). Phosphopenic rickets is usually caused by renal phosphate wasting (Sahay &amp; Sahay, 2013). There is another group of disorders that are not considered classic forms of rickets but in which mineralization is inhibited and thus rachitic features occur. Examples include hypophosphatasia and fluoride toxicity (Rajah et al., 2011).</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eastAsia="Meta" w:cs="Simplified Arabic"/>
          <w:szCs w:val="28"/>
          <w:lang/>
        </w:rPr>
        <w:tab/>
        <w:t>Although nutritional rickets is the most common type of this disease, there are several other forms, including genetic disorders of vitamin D metabolism or phosphate transport. Although rare, hereditary hypophosphataemic rickets is the most common form of heritable rickets (</w:t>
      </w:r>
      <w:r w:rsidRPr="00366106">
        <w:rPr>
          <w:rFonts w:eastAsia="MetaPlus" w:cs="Simplified Arabic"/>
          <w:szCs w:val="28"/>
          <w:lang/>
        </w:rPr>
        <w:t>Caetano et al., 2012)</w:t>
      </w:r>
      <w:r w:rsidRPr="00366106">
        <w:rPr>
          <w:rFonts w:eastAsia="Meta" w:cs="Simplified Arabic"/>
          <w:szCs w:val="28"/>
          <w:lang/>
        </w:rPr>
        <w:t>.</w:t>
      </w:r>
    </w:p>
    <w:p w:rsidR="00C35717" w:rsidRPr="00366106" w:rsidRDefault="00C35717" w:rsidP="00366106">
      <w:pPr>
        <w:autoSpaceDE w:val="0"/>
        <w:autoSpaceDN w:val="0"/>
        <w:adjustRightInd w:val="0"/>
        <w:spacing w:after="0" w:line="360" w:lineRule="auto"/>
        <w:ind w:firstLine="425"/>
        <w:jc w:val="both"/>
        <w:rPr>
          <w:rFonts w:eastAsia="Arial Unicode MS" w:cs="Simplified Arabic"/>
          <w:szCs w:val="28"/>
          <w:lang/>
        </w:rPr>
      </w:pPr>
      <w:r w:rsidRPr="00366106">
        <w:rPr>
          <w:rFonts w:cs="Simplified Arabic"/>
          <w:szCs w:val="28"/>
          <w:lang/>
        </w:rPr>
        <w:t>Genetic Disorders of Vitamin D Metabolism include:</w:t>
      </w:r>
    </w:p>
    <w:p w:rsidR="00C35717" w:rsidRPr="00366106" w:rsidRDefault="00C35717" w:rsidP="00366106">
      <w:pPr>
        <w:pStyle w:val="ListParagraph"/>
        <w:numPr>
          <w:ilvl w:val="0"/>
          <w:numId w:val="4"/>
        </w:numPr>
        <w:autoSpaceDE w:val="0"/>
        <w:autoSpaceDN w:val="0"/>
        <w:adjustRightInd w:val="0"/>
        <w:spacing w:after="0" w:line="360" w:lineRule="auto"/>
        <w:ind w:left="0" w:firstLine="425"/>
        <w:jc w:val="both"/>
        <w:rPr>
          <w:rFonts w:cs="Simplified Arabic"/>
          <w:szCs w:val="28"/>
          <w:lang/>
        </w:rPr>
      </w:pPr>
      <w:r w:rsidRPr="00366106">
        <w:rPr>
          <w:rFonts w:cs="Simplified Arabic"/>
          <w:szCs w:val="28"/>
          <w:lang/>
        </w:rPr>
        <w:t>Pseudovitamin D deficiency rickets (PDDR): (OMIM 264700)</w:t>
      </w:r>
    </w:p>
    <w:p w:rsidR="00C35717" w:rsidRPr="00366106" w:rsidRDefault="00C35717" w:rsidP="00366106">
      <w:pPr>
        <w:pStyle w:val="ListParagraph"/>
        <w:numPr>
          <w:ilvl w:val="0"/>
          <w:numId w:val="4"/>
        </w:numPr>
        <w:autoSpaceDE w:val="0"/>
        <w:autoSpaceDN w:val="0"/>
        <w:adjustRightInd w:val="0"/>
        <w:spacing w:after="0" w:line="360" w:lineRule="auto"/>
        <w:ind w:left="0" w:firstLine="425"/>
        <w:jc w:val="both"/>
        <w:rPr>
          <w:rFonts w:cs="Simplified Arabic"/>
          <w:szCs w:val="28"/>
          <w:lang/>
        </w:rPr>
      </w:pPr>
      <w:r w:rsidRPr="00366106">
        <w:rPr>
          <w:rFonts w:cs="Simplified Arabic"/>
          <w:szCs w:val="28"/>
          <w:lang/>
        </w:rPr>
        <w:t>Also referred to as Vitamin D dependent rickets type I (VDDR-I) or Vitamin D 1α-hydroxylase deficiency rickets, is a rare hereditary autosomal recessive disorder caused by mutations of the 1α-hydroxylase gene.  Characteristic laboratory features are hypocalcemia, increased serum concentrations of parathyroid hormone (PTH), and low or undetectable serum concentrations of 1, 25(OH)₂ D despite normal or increased concentrations of 25,OHD (Kim, 2011).</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eastAsia="Arial Unicode MS" w:cs="Simplified Arabic"/>
          <w:szCs w:val="28"/>
          <w:lang/>
        </w:rPr>
        <w:t xml:space="preserve">A number of mutations have been found in the </w:t>
      </w:r>
      <w:r w:rsidRPr="00366106">
        <w:rPr>
          <w:rFonts w:cs="Simplified Arabic"/>
          <w:szCs w:val="28"/>
          <w:lang/>
        </w:rPr>
        <w:t>1α -hydroxylase gene (</w:t>
      </w:r>
      <w:r w:rsidRPr="00366106">
        <w:rPr>
          <w:rFonts w:eastAsia="Arial Unicode MS" w:cs="Simplified Arabic"/>
          <w:szCs w:val="28"/>
          <w:lang/>
        </w:rPr>
        <w:t xml:space="preserve">CYP27B1) gene including missense mutations, deletions, duplications and splice site mutations </w:t>
      </w:r>
      <w:r w:rsidRPr="00366106">
        <w:rPr>
          <w:rFonts w:cs="Simplified Arabic"/>
          <w:szCs w:val="28"/>
          <w:lang/>
        </w:rPr>
        <w:t>in patients with VDDR-I (Kim et al., 2007; Malloy &amp; Feldman, 2010).</w:t>
      </w:r>
    </w:p>
    <w:p w:rsidR="00C35717" w:rsidRPr="00366106" w:rsidRDefault="00C35717" w:rsidP="00366106">
      <w:pPr>
        <w:shd w:val="clear" w:color="auto" w:fill="FFFFFF"/>
        <w:spacing w:after="0" w:line="360" w:lineRule="auto"/>
        <w:ind w:firstLine="425"/>
        <w:jc w:val="both"/>
        <w:textAlignment w:val="baseline"/>
        <w:rPr>
          <w:rFonts w:cs="Simplified Arabic"/>
          <w:szCs w:val="28"/>
          <w:lang/>
        </w:rPr>
      </w:pPr>
      <w:r w:rsidRPr="00366106">
        <w:rPr>
          <w:rFonts w:eastAsia="Arial Unicode MS" w:cs="Simplified Arabic"/>
          <w:szCs w:val="28"/>
          <w:lang/>
        </w:rPr>
        <w:t xml:space="preserve">Presentation of rickets is in the toddler age. Treatment is with </w:t>
      </w:r>
      <w:r w:rsidRPr="00366106">
        <w:rPr>
          <w:rFonts w:cs="Simplified Arabic"/>
          <w:szCs w:val="28"/>
          <w:lang/>
        </w:rPr>
        <w:t>1,25-dihydroxycholecalciferol (</w:t>
      </w:r>
      <w:r w:rsidRPr="00366106">
        <w:rPr>
          <w:rFonts w:eastAsia="Arial Unicode MS" w:cs="Simplified Arabic"/>
          <w:szCs w:val="28"/>
          <w:lang/>
        </w:rPr>
        <w:t>alfacalcidol or calcitriol) in the dose range of 0.5-2.0 µg/day (</w:t>
      </w:r>
      <w:r w:rsidRPr="00366106">
        <w:rPr>
          <w:rFonts w:cs="Simplified Arabic"/>
          <w:szCs w:val="28"/>
          <w:lang/>
        </w:rPr>
        <w:t>Ramasamy, 2008).</w:t>
      </w:r>
    </w:p>
    <w:p w:rsidR="00C35717" w:rsidRPr="00366106" w:rsidRDefault="00C35717" w:rsidP="00366106">
      <w:pPr>
        <w:shd w:val="clear" w:color="auto" w:fill="FFFFFF"/>
        <w:spacing w:after="0" w:line="360" w:lineRule="auto"/>
        <w:ind w:firstLine="425"/>
        <w:jc w:val="both"/>
        <w:textAlignment w:val="baseline"/>
        <w:rPr>
          <w:rFonts w:cs="Simplified Arabic"/>
          <w:szCs w:val="28"/>
          <w:lang/>
        </w:rPr>
      </w:pPr>
      <w:r w:rsidRPr="00366106">
        <w:rPr>
          <w:rFonts w:cs="Simplified Arabic"/>
          <w:szCs w:val="28"/>
          <w:lang/>
        </w:rPr>
        <w:t>Hereditary vitamin D-resistant rickets (HVDRR) (OMIM 277440)</w:t>
      </w:r>
    </w:p>
    <w:p w:rsidR="00C35717" w:rsidRPr="00366106" w:rsidRDefault="00C35717" w:rsidP="00366106">
      <w:pPr>
        <w:shd w:val="clear" w:color="auto" w:fill="FFFFFF"/>
        <w:spacing w:after="0" w:line="360" w:lineRule="auto"/>
        <w:ind w:firstLine="425"/>
        <w:jc w:val="both"/>
        <w:textAlignment w:val="baseline"/>
        <w:rPr>
          <w:rFonts w:cs="Simplified Arabic"/>
          <w:szCs w:val="28"/>
          <w:lang/>
        </w:rPr>
      </w:pPr>
      <w:r w:rsidRPr="00366106">
        <w:rPr>
          <w:rFonts w:cs="Simplified Arabic"/>
          <w:szCs w:val="28"/>
          <w:lang/>
        </w:rPr>
        <w:t xml:space="preserve"> Also known as vitamin D dependent rickets type II (VDDR II), is an autosomal recessive disease </w:t>
      </w:r>
      <w:r w:rsidRPr="00366106">
        <w:rPr>
          <w:rFonts w:eastAsia="Arial Unicode MS" w:cs="Simplified Arabic"/>
          <w:szCs w:val="28"/>
          <w:lang/>
        </w:rPr>
        <w:t xml:space="preserve">with alopecia in 50% of cases. It is </w:t>
      </w:r>
      <w:r w:rsidRPr="00366106">
        <w:rPr>
          <w:rFonts w:cs="Simplified Arabic"/>
          <w:szCs w:val="28"/>
          <w:lang/>
        </w:rPr>
        <w:t>caused by mutations in</w:t>
      </w:r>
      <w:r w:rsidRPr="00366106">
        <w:rPr>
          <w:rFonts w:eastAsia="Arial Unicode MS" w:cs="Simplified Arabic"/>
          <w:szCs w:val="28"/>
          <w:lang/>
        </w:rPr>
        <w:t xml:space="preserve"> the gene for the vitamin D receptor (VDR) with resistance to the action of the active metabolite and therefore patients show very high levels of 1,25(OH)2D3</w:t>
      </w:r>
      <w:r w:rsidRPr="00366106">
        <w:rPr>
          <w:rFonts w:cs="Simplified Arabic"/>
          <w:szCs w:val="28"/>
          <w:lang/>
        </w:rPr>
        <w:t>, distinguishing this condition from PDDR.</w:t>
      </w:r>
      <w:r w:rsidRPr="00366106">
        <w:rPr>
          <w:rFonts w:eastAsia="Arial Unicode MS" w:cs="Simplified Arabic"/>
          <w:szCs w:val="28"/>
          <w:lang/>
        </w:rPr>
        <w:t xml:space="preserve"> Treatment is more difficult, as although some patients may respond to high-dose alfacalcidol, many require intravenous calcium infusions via a central line to heal the rickets (</w:t>
      </w:r>
      <w:r w:rsidRPr="00366106">
        <w:rPr>
          <w:rFonts w:cs="Simplified Arabic"/>
          <w:szCs w:val="28"/>
          <w:lang/>
        </w:rPr>
        <w:t>Pai &amp; Shaw, 2011).</w:t>
      </w:r>
    </w:p>
    <w:p w:rsidR="00C35717" w:rsidRPr="00366106" w:rsidRDefault="00C35717" w:rsidP="00366106">
      <w:pPr>
        <w:pStyle w:val="Heading2"/>
        <w:keepNext/>
        <w:numPr>
          <w:ilvl w:val="0"/>
          <w:numId w:val="5"/>
        </w:numPr>
        <w:shd w:val="clear" w:color="auto" w:fill="FFFFFF"/>
        <w:spacing w:before="0" w:beforeAutospacing="0" w:after="0" w:afterAutospacing="0" w:line="360" w:lineRule="auto"/>
        <w:ind w:left="0" w:firstLine="425"/>
        <w:jc w:val="both"/>
        <w:textAlignment w:val="baseline"/>
        <w:rPr>
          <w:rFonts w:cs="Simplified Arabic"/>
          <w:bCs w:val="0"/>
          <w:szCs w:val="28"/>
          <w:lang/>
        </w:rPr>
      </w:pPr>
      <w:r w:rsidRPr="00366106">
        <w:rPr>
          <w:rFonts w:cs="Simplified Arabic"/>
          <w:bCs w:val="0"/>
          <w:szCs w:val="28"/>
          <w:lang/>
        </w:rPr>
        <w:t>Hypophosphatemic rickets</w:t>
      </w:r>
    </w:p>
    <w:p w:rsidR="00C35717" w:rsidRPr="00366106" w:rsidRDefault="00C35717" w:rsidP="00366106">
      <w:pPr>
        <w:pStyle w:val="Heading2"/>
        <w:keepNext/>
        <w:numPr>
          <w:ilvl w:val="0"/>
          <w:numId w:val="5"/>
        </w:numPr>
        <w:shd w:val="clear" w:color="auto" w:fill="FFFFFF"/>
        <w:spacing w:before="0" w:beforeAutospacing="0" w:after="0" w:afterAutospacing="0" w:line="360" w:lineRule="auto"/>
        <w:ind w:left="0" w:firstLine="425"/>
        <w:jc w:val="both"/>
        <w:textAlignment w:val="baseline"/>
        <w:rPr>
          <w:rFonts w:cs="Simplified Arabic"/>
          <w:bCs w:val="0"/>
          <w:szCs w:val="28"/>
          <w:lang/>
        </w:rPr>
      </w:pPr>
      <w:r w:rsidRPr="00366106">
        <w:rPr>
          <w:rFonts w:cs="Simplified Arabic"/>
          <w:bCs w:val="0"/>
          <w:szCs w:val="28"/>
          <w:lang/>
        </w:rPr>
        <w:t>Hypophosphatemic rickets (HR) or vitamin D-resistant rickets is a group of renal phosphate wasting disorders including X-linked dominant hypophosphatemic rickets (XLH) (OMIM 307800) which is the most common form of heritable rickets (Whyte and Thakker, 2013) caused by inactivating mutations in PHEX, a gene located on Xp22.1, autosomal dominant hypophosphatemic rickets (ADHR, OMIM 193100) due to gain-of-function mutation in FGF23 gene, autosomal recessive hypophosphatemic rickets (ARHR, OMIM 241520) due to homozygous or compound heterozygous mutations involving the DMP1 or ENPP1 genes and hypophosphataemic rickets with hypercalciuria (HRH) (OMIM 241530) caused by mutation within the SLC34AC gene encoding the Type IIc sodium-phosphate co-transporter (Lorenz-Depiereux et al., 2006).</w:t>
      </w:r>
    </w:p>
    <w:p w:rsidR="00C35717" w:rsidRPr="00366106" w:rsidRDefault="00C35717" w:rsidP="00366106">
      <w:pPr>
        <w:autoSpaceDE w:val="0"/>
        <w:autoSpaceDN w:val="0"/>
        <w:adjustRightInd w:val="0"/>
        <w:spacing w:after="0" w:line="360" w:lineRule="auto"/>
        <w:ind w:firstLine="425"/>
        <w:jc w:val="both"/>
        <w:rPr>
          <w:rFonts w:eastAsia="Arial Unicode MS" w:cs="Simplified Arabic"/>
          <w:szCs w:val="28"/>
          <w:lang/>
        </w:rPr>
      </w:pPr>
      <w:r w:rsidRPr="00366106">
        <w:rPr>
          <w:rFonts w:eastAsia="Arial Unicode MS" w:cs="Simplified Arabic"/>
          <w:szCs w:val="28"/>
          <w:lang/>
        </w:rPr>
        <w:t>Hypophosphatemic rickets result from defects in renal tubular reabsorption of phosphate, and share similar clinical and biochemical features such as bone deformity, bone pain, short stature, poor dental development, hypophosphatemia, and inappropriately normal serum 1, 25(OH)2D level (Amatschek et al., 2010).</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Treatment of hereditary rickets aims to correct or minimize rickets/osteomalacia, radiographic abnormalities, and skeletal deformities, decreases the number of necessary surgeries, and improves adult height. Early initiation of treatment appears to optimize height outcomes. In this study we aimed at the proper diagnosis and evaluation of the effect of treatment of different types of hereditary rickets over 2 years.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Patients and Methods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This descriptive and prospective study included 13 Egyptian children (9males and 4females) with hereditary rickets who were recruited from the Limb Malformations and Skeletal Dysplasia Clinic (LMSDC), Medical Centre for Scientific Excellence, National Research Centre (NRC) from January 2010 to December 2012. They were selected based on clinical, radiological manifestations of rickets and laboratory findings including serum calcium, phosphorous, alkaline phosphatase and parathormone horme in addition to creatinine level. Selected patients were classified into 4 patients with calcipenic and 9 patients with phosphopenic rickets and received medications accordingly.</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Calcipenic rickets patients: were treated with both activated vitamin D (calcitriol or alfacalcidol) and high doses of elemental calcium in oral form because of difficult application of intravenous calcium as a long term therapeutic approach due to difficulty of continuous canulations or caring about central line. We started treatment with calcitriol at a dose of 1µ/day and calcium supplements at 500mg elemental dose. The doses were gradually elevated in those resistant to respond to the initial doses.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Phosphopenic rickets patients: were treated with both calcitriol and phosphate. Phosphate dosages were titrated to minimize abdominal pain or diarrhea, till reaching target doses.  As most treatment studies has no consistent reports regarding optimal doses and concerns regarding the side effects (Fujiwara et al., 2013); we started the treatment regimen with an elemental phosphorus dose of 30mg/kg/day (in 3 to 5 divided doses) and calcitriol at dose of 0.5µ/kg/day</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Assessment every 6 months included growth parameters, clinical improvement in rachitic manifestations and bony deformities, radiologic abnormalities and laboratory follow up by serum calcium, phosphorus and alkaline phosphatase. Also serum creatinine was done to monitor renal function. Parathormone hormone could not be done in most cases because of the high cost of the laboratory tests and the medications used.</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Statistical analysis: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Statistical analysis has been done using SPSS version 18.</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Descriptive statistics were done for numerical parametric data as median and inter-quartile range, while they were done for categorical data as number and percentage. Inferential analyses were done for quantitative variables using Mann whiteny U in cases of two independent groups with non parametric data and Wilcoxon signed rank test in cases of two dependent groups with non-parametric data.  Inferential analyses were done for qualitative data using Chi square test for independent variables and Fisher exact test for independent variables with small expected numbers as well as McNemar test for paired categorical data. While correlations were done using Spearman's rho test for numerical non parametric and categorical data. The level of significance was taken at P value &lt; 0.050 is significant.</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Results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eastAsia="Meta" w:cs="Simplified Arabic"/>
          <w:szCs w:val="28"/>
          <w:lang/>
        </w:rPr>
        <w:t>Thirteen children with hereditary rickets were studied, with a median age at presentation of 3 years (IQR 2.0- 4.3 and range 16 months-18 years) four of which were calcipenic (30.8%) and nine cases were hypophosphatemic rickets (69.2%). Their demographic data are presented in table (1) and figure (2).</w:t>
      </w:r>
    </w:p>
    <w:p w:rsidR="00C35717" w:rsidRPr="00366106" w:rsidRDefault="00C35717" w:rsidP="00366106">
      <w:pPr>
        <w:pStyle w:val="ListParagraph"/>
        <w:numPr>
          <w:ilvl w:val="0"/>
          <w:numId w:val="2"/>
        </w:numPr>
        <w:autoSpaceDE w:val="0"/>
        <w:autoSpaceDN w:val="0"/>
        <w:adjustRightInd w:val="0"/>
        <w:spacing w:after="0" w:line="360" w:lineRule="auto"/>
        <w:ind w:left="0" w:firstLine="425"/>
        <w:jc w:val="both"/>
        <w:rPr>
          <w:rFonts w:cs="Simplified Arabic"/>
          <w:szCs w:val="28"/>
          <w:lang/>
        </w:rPr>
      </w:pPr>
      <w:r w:rsidRPr="00366106">
        <w:rPr>
          <w:rFonts w:eastAsia="ScalaLancetPro" w:cs="Simplified Arabic"/>
          <w:szCs w:val="28"/>
          <w:lang/>
        </w:rPr>
        <w:t xml:space="preserve">Four patients with calcipenic rickets received high doses of oral calcium and active form of vitamin D (calcitriol). One of them showed clinical improvement in pain, deformities and decrease thickening and broadening of joints giving the diagnosis of </w:t>
      </w:r>
      <w:r w:rsidRPr="00366106">
        <w:rPr>
          <w:rFonts w:cs="Simplified Arabic"/>
          <w:szCs w:val="28"/>
          <w:lang/>
        </w:rPr>
        <w:t>1α-Hydroxylase Deficiency (vitamin D dependent rickets type I (VDDR I)</w:t>
      </w:r>
      <w:r w:rsidRPr="00366106">
        <w:rPr>
          <w:rFonts w:eastAsia="ScalaLancetPro" w:cs="Simplified Arabic"/>
          <w:szCs w:val="28"/>
          <w:lang/>
        </w:rPr>
        <w:t xml:space="preserve">, however the other 3 patients were resistant to treatment and one of them had alopecia totalis with the most severe clinical phenotype giving the diagnosis of </w:t>
      </w:r>
      <w:r w:rsidRPr="00366106">
        <w:rPr>
          <w:rFonts w:cs="Simplified Arabic"/>
          <w:szCs w:val="28"/>
          <w:lang/>
        </w:rPr>
        <w:t>Hereditary vitamin D-resistant rickets (HVDRR).</w:t>
      </w:r>
    </w:p>
    <w:p w:rsidR="00C35717" w:rsidRPr="00366106" w:rsidRDefault="00C35717" w:rsidP="00366106">
      <w:pPr>
        <w:pStyle w:val="ListParagraph"/>
        <w:numPr>
          <w:ilvl w:val="0"/>
          <w:numId w:val="2"/>
        </w:numPr>
        <w:autoSpaceDE w:val="0"/>
        <w:autoSpaceDN w:val="0"/>
        <w:adjustRightInd w:val="0"/>
        <w:spacing w:after="0" w:line="360" w:lineRule="auto"/>
        <w:ind w:left="0" w:firstLine="425"/>
        <w:jc w:val="both"/>
        <w:rPr>
          <w:rFonts w:eastAsia="ScalaLancetPro" w:cs="Simplified Arabic"/>
          <w:szCs w:val="28"/>
          <w:lang/>
        </w:rPr>
      </w:pPr>
      <w:r w:rsidRPr="00366106">
        <w:rPr>
          <w:rFonts w:cs="Simplified Arabic"/>
          <w:szCs w:val="28"/>
          <w:lang/>
        </w:rPr>
        <w:t xml:space="preserve">Nine patients had </w:t>
      </w:r>
      <w:r w:rsidRPr="00366106">
        <w:rPr>
          <w:rFonts w:eastAsia="Meta" w:cs="Simplified Arabic"/>
          <w:szCs w:val="28"/>
          <w:lang/>
        </w:rPr>
        <w:t>hypophosphatemic rickets. They</w:t>
      </w:r>
      <w:r w:rsidRPr="00366106">
        <w:rPr>
          <w:rFonts w:cs="Simplified Arabic"/>
          <w:szCs w:val="28"/>
          <w:lang/>
        </w:rPr>
        <w:t xml:space="preserve"> had </w:t>
      </w:r>
      <w:r w:rsidRPr="00366106">
        <w:rPr>
          <w:rFonts w:eastAsia="Meta" w:cs="Simplified Arabic"/>
          <w:szCs w:val="28"/>
          <w:lang/>
        </w:rPr>
        <w:t xml:space="preserve">hypophosphataemia and increased alkaline phosphatase with normal calcium. They were treated with calcitriol </w:t>
      </w:r>
      <w:r w:rsidRPr="00366106">
        <w:rPr>
          <w:rFonts w:cs="Simplified Arabic"/>
          <w:szCs w:val="28"/>
          <w:lang/>
        </w:rPr>
        <w:t xml:space="preserve">at dose of 0.5µ/kg/day </w:t>
      </w:r>
      <w:r w:rsidRPr="00366106">
        <w:rPr>
          <w:rFonts w:eastAsia="Meta" w:cs="Simplified Arabic"/>
          <w:szCs w:val="28"/>
          <w:lang/>
        </w:rPr>
        <w:t xml:space="preserve">and oral phosphorous. </w:t>
      </w:r>
      <w:r w:rsidRPr="00366106">
        <w:rPr>
          <w:rFonts w:cs="Simplified Arabic"/>
          <w:szCs w:val="28"/>
          <w:lang/>
        </w:rPr>
        <w:t>Phosphorous dosages were titrated and divided in four to five doses to minimize abdominal pain or diarrhea, till reaching target doses 40mg/kg/day and also to insure adequate absorption.</w:t>
      </w:r>
    </w:p>
    <w:p w:rsidR="00C35717" w:rsidRPr="00366106" w:rsidRDefault="00C35717" w:rsidP="00366106">
      <w:pPr>
        <w:pStyle w:val="ListParagraph"/>
        <w:numPr>
          <w:ilvl w:val="0"/>
          <w:numId w:val="2"/>
        </w:numPr>
        <w:autoSpaceDE w:val="0"/>
        <w:autoSpaceDN w:val="0"/>
        <w:adjustRightInd w:val="0"/>
        <w:spacing w:after="0" w:line="360" w:lineRule="auto"/>
        <w:ind w:left="0" w:firstLine="425"/>
        <w:jc w:val="both"/>
        <w:rPr>
          <w:rFonts w:eastAsia="ScalaLancetPro" w:cs="Simplified Arabic"/>
          <w:szCs w:val="28"/>
          <w:lang/>
        </w:rPr>
      </w:pPr>
      <w:r w:rsidRPr="00366106">
        <w:rPr>
          <w:rFonts w:cs="Simplified Arabic"/>
          <w:szCs w:val="28"/>
          <w:lang/>
        </w:rPr>
        <w:t>Improvement in bony pains and rachitic manifestations was noted in all patients but no improvement was detected in growth in the short cases.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Table (2) and figure (3) show that Height standard deviation (SD) decreased at follow-up1 (FU1) then increased beyond basal level, but differences were statistically non-significant.</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Table (3) and figure (4) show that the frequency of high alkaline phosphatase levels non-significantly decreased at FU1 then re-increased at FU2.</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 xml:space="preserve">Table (1): Demographic statistics of patients with hereditary rickets </w:t>
      </w:r>
    </w:p>
    <w:tbl>
      <w:tblPr>
        <w:tblW w:w="8504" w:type="dxa"/>
        <w:jc w:val="center"/>
        <w:tblLook w:val="00A0"/>
      </w:tblPr>
      <w:tblGrid>
        <w:gridCol w:w="3484"/>
        <w:gridCol w:w="2501"/>
        <w:gridCol w:w="2519"/>
      </w:tblGrid>
      <w:tr w:rsidR="00C35717" w:rsidRPr="00366106" w:rsidTr="00366106">
        <w:trPr>
          <w:trHeight w:val="266"/>
          <w:jc w:val="center"/>
        </w:trPr>
        <w:tc>
          <w:tcPr>
            <w:tcW w:w="2488" w:type="dxa"/>
            <w:tcBorders>
              <w:top w:val="single" w:sz="4" w:space="0" w:color="auto"/>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w:t>
            </w:r>
          </w:p>
        </w:tc>
        <w:tc>
          <w:tcPr>
            <w:tcW w:w="1786"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Median (IQR) </w:t>
            </w:r>
          </w:p>
        </w:tc>
        <w:tc>
          <w:tcPr>
            <w:tcW w:w="1799"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Range </w:t>
            </w:r>
          </w:p>
        </w:tc>
      </w:tr>
      <w:tr w:rsidR="00C35717" w:rsidRPr="00366106" w:rsidTr="00366106">
        <w:trPr>
          <w:trHeight w:val="266"/>
          <w:jc w:val="center"/>
        </w:trPr>
        <w:tc>
          <w:tcPr>
            <w:tcW w:w="2488"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Age (years)</w:t>
            </w:r>
          </w:p>
        </w:tc>
        <w:tc>
          <w:tcPr>
            <w:tcW w:w="1786"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3.0 (2.0–4.3)</w:t>
            </w:r>
          </w:p>
        </w:tc>
        <w:tc>
          <w:tcPr>
            <w:tcW w:w="1799"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1.0–18.0</w:t>
            </w:r>
          </w:p>
        </w:tc>
      </w:tr>
      <w:tr w:rsidR="00C35717" w:rsidRPr="00366106" w:rsidTr="00366106">
        <w:trPr>
          <w:trHeight w:val="266"/>
          <w:jc w:val="center"/>
        </w:trPr>
        <w:tc>
          <w:tcPr>
            <w:tcW w:w="2488"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w:t>
            </w:r>
          </w:p>
        </w:tc>
        <w:tc>
          <w:tcPr>
            <w:tcW w:w="1786"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N</w:t>
            </w:r>
          </w:p>
        </w:tc>
        <w:tc>
          <w:tcPr>
            <w:tcW w:w="1799"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w:t>
            </w:r>
          </w:p>
        </w:tc>
      </w:tr>
      <w:tr w:rsidR="00C35717" w:rsidRPr="00366106" w:rsidTr="00366106">
        <w:trPr>
          <w:trHeight w:val="266"/>
          <w:jc w:val="center"/>
        </w:trPr>
        <w:tc>
          <w:tcPr>
            <w:tcW w:w="2488"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Sex</w:t>
            </w:r>
          </w:p>
          <w:p w:rsidR="00C35717" w:rsidRPr="00366106" w:rsidRDefault="00C35717" w:rsidP="00366106">
            <w:pPr>
              <w:pStyle w:val="ListParagraph"/>
              <w:rPr>
                <w:rFonts w:cs="Simplified Arabic"/>
                <w:szCs w:val="28"/>
                <w:lang/>
              </w:rPr>
            </w:pPr>
            <w:r w:rsidRPr="00366106">
              <w:rPr>
                <w:rFonts w:cs="Simplified Arabic"/>
                <w:szCs w:val="28"/>
                <w:lang/>
              </w:rPr>
              <w:t>Male</w:t>
            </w:r>
          </w:p>
          <w:p w:rsidR="00C35717" w:rsidRPr="00366106" w:rsidRDefault="00C35717" w:rsidP="00366106">
            <w:pPr>
              <w:pStyle w:val="ListParagraph"/>
              <w:rPr>
                <w:rFonts w:cs="Simplified Arabic"/>
                <w:szCs w:val="28"/>
                <w:lang/>
              </w:rPr>
            </w:pPr>
            <w:r w:rsidRPr="00366106">
              <w:rPr>
                <w:rFonts w:cs="Simplified Arabic"/>
                <w:szCs w:val="28"/>
                <w:lang/>
              </w:rPr>
              <w:t>Female</w:t>
            </w:r>
          </w:p>
        </w:tc>
        <w:tc>
          <w:tcPr>
            <w:tcW w:w="1786"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p>
          <w:p w:rsidR="00C35717" w:rsidRPr="00366106" w:rsidRDefault="00C35717" w:rsidP="00366106">
            <w:pPr>
              <w:rPr>
                <w:rFonts w:cs="Simplified Arabic"/>
                <w:szCs w:val="28"/>
                <w:lang/>
              </w:rPr>
            </w:pPr>
            <w:r w:rsidRPr="00366106">
              <w:rPr>
                <w:rFonts w:cs="Simplified Arabic"/>
                <w:szCs w:val="28"/>
                <w:lang/>
              </w:rPr>
              <w:t>9</w:t>
            </w:r>
          </w:p>
          <w:p w:rsidR="00C35717" w:rsidRPr="00366106" w:rsidRDefault="00C35717" w:rsidP="00366106">
            <w:pPr>
              <w:rPr>
                <w:rFonts w:cs="Simplified Arabic"/>
                <w:szCs w:val="28"/>
                <w:lang/>
              </w:rPr>
            </w:pPr>
            <w:r w:rsidRPr="00366106">
              <w:rPr>
                <w:rFonts w:cs="Simplified Arabic"/>
                <w:szCs w:val="28"/>
                <w:lang/>
              </w:rPr>
              <w:t>4</w:t>
            </w:r>
          </w:p>
        </w:tc>
        <w:tc>
          <w:tcPr>
            <w:tcW w:w="1799"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p>
          <w:p w:rsidR="00C35717" w:rsidRPr="00366106" w:rsidRDefault="00C35717" w:rsidP="00366106">
            <w:pPr>
              <w:rPr>
                <w:rFonts w:cs="Simplified Arabic"/>
                <w:szCs w:val="28"/>
                <w:lang/>
              </w:rPr>
            </w:pPr>
            <w:r w:rsidRPr="00366106">
              <w:rPr>
                <w:rFonts w:cs="Simplified Arabic"/>
                <w:szCs w:val="28"/>
                <w:lang/>
              </w:rPr>
              <w:t>69.2</w:t>
            </w:r>
          </w:p>
          <w:p w:rsidR="00C35717" w:rsidRPr="00366106" w:rsidRDefault="00C35717" w:rsidP="00366106">
            <w:pPr>
              <w:rPr>
                <w:rFonts w:cs="Simplified Arabic"/>
                <w:szCs w:val="28"/>
                <w:lang/>
              </w:rPr>
            </w:pPr>
            <w:r w:rsidRPr="00366106">
              <w:rPr>
                <w:rFonts w:cs="Simplified Arabic"/>
                <w:szCs w:val="28"/>
                <w:lang/>
              </w:rPr>
              <w:t>30.8</w:t>
            </w:r>
          </w:p>
        </w:tc>
      </w:tr>
      <w:tr w:rsidR="00C35717" w:rsidRPr="00366106" w:rsidTr="00366106">
        <w:trPr>
          <w:trHeight w:val="266"/>
          <w:jc w:val="center"/>
        </w:trPr>
        <w:tc>
          <w:tcPr>
            <w:tcW w:w="2488"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Parental consanguinity</w:t>
            </w:r>
          </w:p>
          <w:p w:rsidR="00C35717" w:rsidRPr="00366106" w:rsidRDefault="00C35717" w:rsidP="00366106">
            <w:pPr>
              <w:pStyle w:val="ListParagraph"/>
              <w:rPr>
                <w:rFonts w:cs="Simplified Arabic"/>
                <w:szCs w:val="28"/>
                <w:lang/>
              </w:rPr>
            </w:pPr>
            <w:r w:rsidRPr="00366106">
              <w:rPr>
                <w:rFonts w:cs="Simplified Arabic"/>
                <w:szCs w:val="28"/>
                <w:lang/>
              </w:rPr>
              <w:t>Yes</w:t>
            </w:r>
          </w:p>
          <w:p w:rsidR="00C35717" w:rsidRPr="00366106" w:rsidRDefault="00C35717" w:rsidP="00366106">
            <w:pPr>
              <w:pStyle w:val="ListParagraph"/>
              <w:rPr>
                <w:rFonts w:cs="Simplified Arabic"/>
                <w:szCs w:val="28"/>
                <w:lang/>
              </w:rPr>
            </w:pPr>
            <w:r w:rsidRPr="00366106">
              <w:rPr>
                <w:rFonts w:cs="Simplified Arabic"/>
                <w:szCs w:val="28"/>
                <w:lang/>
              </w:rPr>
              <w:t>No</w:t>
            </w:r>
          </w:p>
        </w:tc>
        <w:tc>
          <w:tcPr>
            <w:tcW w:w="1786"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p>
          <w:p w:rsidR="00C35717" w:rsidRPr="00366106" w:rsidRDefault="00C35717" w:rsidP="00366106">
            <w:pPr>
              <w:rPr>
                <w:rFonts w:cs="Simplified Arabic"/>
                <w:szCs w:val="28"/>
                <w:lang/>
              </w:rPr>
            </w:pPr>
            <w:r w:rsidRPr="00366106">
              <w:rPr>
                <w:rFonts w:cs="Simplified Arabic"/>
                <w:szCs w:val="28"/>
                <w:lang/>
              </w:rPr>
              <w:t>6</w:t>
            </w:r>
          </w:p>
          <w:p w:rsidR="00C35717" w:rsidRPr="00366106" w:rsidRDefault="00C35717" w:rsidP="00366106">
            <w:pPr>
              <w:rPr>
                <w:rFonts w:cs="Simplified Arabic"/>
                <w:szCs w:val="28"/>
                <w:lang/>
              </w:rPr>
            </w:pPr>
            <w:r w:rsidRPr="00366106">
              <w:rPr>
                <w:rFonts w:cs="Simplified Arabic"/>
                <w:szCs w:val="28"/>
                <w:lang/>
              </w:rPr>
              <w:t>7</w:t>
            </w:r>
          </w:p>
        </w:tc>
        <w:tc>
          <w:tcPr>
            <w:tcW w:w="1799"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p>
          <w:p w:rsidR="00C35717" w:rsidRPr="00366106" w:rsidRDefault="00C35717" w:rsidP="00366106">
            <w:pPr>
              <w:rPr>
                <w:rFonts w:cs="Simplified Arabic"/>
                <w:szCs w:val="28"/>
                <w:lang/>
              </w:rPr>
            </w:pPr>
            <w:r w:rsidRPr="00366106">
              <w:rPr>
                <w:rFonts w:cs="Simplified Arabic"/>
                <w:szCs w:val="28"/>
                <w:lang/>
              </w:rPr>
              <w:t>46.2</w:t>
            </w:r>
          </w:p>
          <w:p w:rsidR="00C35717" w:rsidRPr="00366106" w:rsidRDefault="00C35717" w:rsidP="00366106">
            <w:pPr>
              <w:rPr>
                <w:rFonts w:cs="Simplified Arabic"/>
                <w:szCs w:val="28"/>
                <w:lang/>
              </w:rPr>
            </w:pPr>
            <w:r w:rsidRPr="00366106">
              <w:rPr>
                <w:rFonts w:cs="Simplified Arabic"/>
                <w:szCs w:val="28"/>
                <w:lang/>
              </w:rPr>
              <w:t>53.8</w:t>
            </w:r>
          </w:p>
        </w:tc>
      </w:tr>
      <w:tr w:rsidR="00C35717" w:rsidRPr="00366106" w:rsidTr="00366106">
        <w:trPr>
          <w:trHeight w:val="266"/>
          <w:jc w:val="center"/>
        </w:trPr>
        <w:tc>
          <w:tcPr>
            <w:tcW w:w="2488"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Type</w:t>
            </w:r>
          </w:p>
          <w:p w:rsidR="00C35717" w:rsidRPr="00366106" w:rsidRDefault="00C35717" w:rsidP="00366106">
            <w:pPr>
              <w:pStyle w:val="ListParagraph"/>
              <w:rPr>
                <w:rFonts w:cs="Simplified Arabic"/>
                <w:szCs w:val="28"/>
                <w:lang/>
              </w:rPr>
            </w:pPr>
            <w:r w:rsidRPr="00366106">
              <w:rPr>
                <w:rFonts w:cs="Simplified Arabic"/>
                <w:szCs w:val="28"/>
                <w:lang/>
              </w:rPr>
              <w:t>Calcipenic</w:t>
            </w:r>
          </w:p>
          <w:p w:rsidR="00C35717" w:rsidRPr="00366106" w:rsidRDefault="00C35717" w:rsidP="00366106">
            <w:pPr>
              <w:pStyle w:val="ListParagraph"/>
              <w:rPr>
                <w:rFonts w:cs="Simplified Arabic"/>
                <w:szCs w:val="28"/>
                <w:lang/>
              </w:rPr>
            </w:pPr>
            <w:r w:rsidRPr="00366106">
              <w:rPr>
                <w:rFonts w:cs="Simplified Arabic"/>
                <w:szCs w:val="28"/>
                <w:lang/>
              </w:rPr>
              <w:t>Phosphopenic</w:t>
            </w:r>
          </w:p>
        </w:tc>
        <w:tc>
          <w:tcPr>
            <w:tcW w:w="1786"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p>
          <w:p w:rsidR="00C35717" w:rsidRPr="00366106" w:rsidRDefault="00C35717" w:rsidP="00366106">
            <w:pPr>
              <w:rPr>
                <w:rFonts w:cs="Simplified Arabic"/>
                <w:szCs w:val="28"/>
                <w:lang/>
              </w:rPr>
            </w:pPr>
            <w:r w:rsidRPr="00366106">
              <w:rPr>
                <w:rFonts w:cs="Simplified Arabic"/>
                <w:szCs w:val="28"/>
                <w:lang/>
              </w:rPr>
              <w:t>4</w:t>
            </w:r>
          </w:p>
          <w:p w:rsidR="00C35717" w:rsidRPr="00366106" w:rsidRDefault="00C35717" w:rsidP="00366106">
            <w:pPr>
              <w:rPr>
                <w:rFonts w:cs="Simplified Arabic"/>
                <w:szCs w:val="28"/>
                <w:lang/>
              </w:rPr>
            </w:pPr>
            <w:r w:rsidRPr="00366106">
              <w:rPr>
                <w:rFonts w:cs="Simplified Arabic"/>
                <w:szCs w:val="28"/>
                <w:lang/>
              </w:rPr>
              <w:t>9</w:t>
            </w:r>
          </w:p>
        </w:tc>
        <w:tc>
          <w:tcPr>
            <w:tcW w:w="1799"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p>
          <w:p w:rsidR="00C35717" w:rsidRPr="00366106" w:rsidRDefault="00C35717" w:rsidP="00366106">
            <w:pPr>
              <w:rPr>
                <w:rFonts w:cs="Simplified Arabic"/>
                <w:szCs w:val="28"/>
                <w:lang/>
              </w:rPr>
            </w:pPr>
            <w:r w:rsidRPr="00366106">
              <w:rPr>
                <w:rFonts w:cs="Simplified Arabic"/>
                <w:szCs w:val="28"/>
                <w:lang/>
              </w:rPr>
              <w:t>30.8</w:t>
            </w:r>
          </w:p>
          <w:p w:rsidR="00C35717" w:rsidRPr="00366106" w:rsidRDefault="00C35717" w:rsidP="00366106">
            <w:pPr>
              <w:rPr>
                <w:rFonts w:cs="Simplified Arabic"/>
                <w:szCs w:val="28"/>
                <w:lang/>
              </w:rPr>
            </w:pPr>
            <w:r w:rsidRPr="00366106">
              <w:rPr>
                <w:rFonts w:cs="Simplified Arabic"/>
                <w:szCs w:val="28"/>
                <w:lang/>
              </w:rPr>
              <w:t>69.2</w:t>
            </w:r>
          </w:p>
        </w:tc>
      </w:tr>
    </w:tbl>
    <w:p w:rsidR="00C35717" w:rsidRPr="00366106" w:rsidRDefault="00C35717" w:rsidP="00366106">
      <w:pPr>
        <w:pStyle w:val="ListParagraph"/>
        <w:spacing w:after="0" w:line="360" w:lineRule="auto"/>
        <w:ind w:left="0" w:firstLine="425"/>
        <w:jc w:val="both"/>
        <w:rPr>
          <w:rFonts w:cs="Simplified Arabic"/>
          <w:szCs w:val="28"/>
          <w:lang/>
        </w:rPr>
      </w:pPr>
      <w:r w:rsidRPr="00366106">
        <w:rPr>
          <w:rFonts w:cs="Simplified Arabic"/>
          <w:szCs w:val="28"/>
          <w:lang/>
        </w:rPr>
        <w:t>IQR: inter-quartile range, N: number</w:t>
      </w:r>
    </w:p>
    <w:p w:rsidR="00C35717" w:rsidRPr="00366106" w:rsidRDefault="00C35717" w:rsidP="00366106">
      <w:pPr>
        <w:pStyle w:val="ListParagraph"/>
        <w:spacing w:after="0" w:line="360" w:lineRule="auto"/>
        <w:ind w:left="0" w:firstLine="425"/>
        <w:jc w:val="both"/>
        <w:rPr>
          <w:rFonts w:cs="Simplified Arabic"/>
          <w:szCs w:val="28"/>
          <w:lang/>
        </w:rPr>
      </w:pPr>
      <w:r w:rsidRPr="00366106">
        <w:rPr>
          <w:rFonts w:cs="Simplified Arabic"/>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i1025" type="#_x0000_t75" style="width:324pt;height:148.5pt;visibility:visible">
            <v:imagedata r:id="rId7" o:title=""/>
            <o:lock v:ext="edit" aspectratio="f"/>
          </v:shape>
        </w:pic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Figure (2): Percentage of different types of hereditary rickets in the studied group of patients</w:t>
      </w:r>
    </w:p>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Height SD before and after treatment in patients with hereditary rickets is shown in tables (2) and figures (3).</w:t>
      </w:r>
    </w:p>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 xml:space="preserve">Table (2): Height SD before and after treatment in rickets patients </w:t>
      </w:r>
    </w:p>
    <w:tbl>
      <w:tblPr>
        <w:tblW w:w="8504" w:type="dxa"/>
        <w:jc w:val="center"/>
        <w:tblLook w:val="00A0"/>
      </w:tblPr>
      <w:tblGrid>
        <w:gridCol w:w="1268"/>
        <w:gridCol w:w="579"/>
        <w:gridCol w:w="665"/>
        <w:gridCol w:w="2163"/>
        <w:gridCol w:w="500"/>
        <w:gridCol w:w="998"/>
        <w:gridCol w:w="1141"/>
        <w:gridCol w:w="1190"/>
      </w:tblGrid>
      <w:tr w:rsidR="00C35717" w:rsidRPr="00366106" w:rsidTr="00366106">
        <w:trPr>
          <w:trHeight w:val="326"/>
          <w:jc w:val="center"/>
        </w:trPr>
        <w:tc>
          <w:tcPr>
            <w:tcW w:w="1071" w:type="dxa"/>
            <w:tcBorders>
              <w:top w:val="single" w:sz="4" w:space="0" w:color="auto"/>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Time</w:t>
            </w:r>
          </w:p>
        </w:tc>
        <w:tc>
          <w:tcPr>
            <w:tcW w:w="1051" w:type="dxa"/>
            <w:gridSpan w:val="2"/>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N </w:t>
            </w:r>
          </w:p>
        </w:tc>
        <w:tc>
          <w:tcPr>
            <w:tcW w:w="2249" w:type="dxa"/>
            <w:gridSpan w:val="2"/>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Median (IQR) </w:t>
            </w:r>
          </w:p>
        </w:tc>
        <w:tc>
          <w:tcPr>
            <w:tcW w:w="2812" w:type="dxa"/>
            <w:gridSpan w:val="3"/>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Range </w:t>
            </w:r>
          </w:p>
        </w:tc>
      </w:tr>
      <w:tr w:rsidR="00C35717" w:rsidRPr="00366106" w:rsidTr="00366106">
        <w:trPr>
          <w:trHeight w:val="326"/>
          <w:jc w:val="center"/>
        </w:trPr>
        <w:tc>
          <w:tcPr>
            <w:tcW w:w="1071"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Basal</w:t>
            </w:r>
          </w:p>
        </w:tc>
        <w:tc>
          <w:tcPr>
            <w:tcW w:w="1051" w:type="dxa"/>
            <w:gridSpan w:val="2"/>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13</w:t>
            </w:r>
          </w:p>
        </w:tc>
        <w:tc>
          <w:tcPr>
            <w:tcW w:w="2249" w:type="dxa"/>
            <w:gridSpan w:val="2"/>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-3.0 (-3.9–-2.1)</w:t>
            </w:r>
          </w:p>
        </w:tc>
        <w:tc>
          <w:tcPr>
            <w:tcW w:w="2812" w:type="dxa"/>
            <w:gridSpan w:val="3"/>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-8.0–-0.6</w:t>
            </w:r>
          </w:p>
        </w:tc>
      </w:tr>
      <w:tr w:rsidR="00C35717" w:rsidRPr="00366106" w:rsidTr="00366106">
        <w:trPr>
          <w:trHeight w:val="326"/>
          <w:jc w:val="center"/>
        </w:trPr>
        <w:tc>
          <w:tcPr>
            <w:tcW w:w="1071"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FU1</w:t>
            </w:r>
          </w:p>
        </w:tc>
        <w:tc>
          <w:tcPr>
            <w:tcW w:w="1051" w:type="dxa"/>
            <w:gridSpan w:val="2"/>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12</w:t>
            </w:r>
          </w:p>
        </w:tc>
        <w:tc>
          <w:tcPr>
            <w:tcW w:w="2249" w:type="dxa"/>
            <w:gridSpan w:val="2"/>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-2.6 (-3.5–-2.0)</w:t>
            </w:r>
          </w:p>
        </w:tc>
        <w:tc>
          <w:tcPr>
            <w:tcW w:w="2812" w:type="dxa"/>
            <w:gridSpan w:val="3"/>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-4.8–-1.0</w:t>
            </w:r>
          </w:p>
        </w:tc>
      </w:tr>
      <w:tr w:rsidR="00C35717" w:rsidRPr="00366106" w:rsidTr="00366106">
        <w:trPr>
          <w:trHeight w:val="326"/>
          <w:jc w:val="center"/>
        </w:trPr>
        <w:tc>
          <w:tcPr>
            <w:tcW w:w="1071"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FU2</w:t>
            </w:r>
          </w:p>
        </w:tc>
        <w:tc>
          <w:tcPr>
            <w:tcW w:w="1051" w:type="dxa"/>
            <w:gridSpan w:val="2"/>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7</w:t>
            </w:r>
          </w:p>
        </w:tc>
        <w:tc>
          <w:tcPr>
            <w:tcW w:w="2249" w:type="dxa"/>
            <w:gridSpan w:val="2"/>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-3.7 (-4.8–-3.0)</w:t>
            </w:r>
          </w:p>
        </w:tc>
        <w:tc>
          <w:tcPr>
            <w:tcW w:w="2812" w:type="dxa"/>
            <w:gridSpan w:val="3"/>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-5.4–-2.6</w:t>
            </w:r>
          </w:p>
        </w:tc>
      </w:tr>
      <w:tr w:rsidR="00C35717" w:rsidRPr="00366106" w:rsidTr="00366106">
        <w:trPr>
          <w:trHeight w:val="326"/>
          <w:jc w:val="center"/>
        </w:trPr>
        <w:tc>
          <w:tcPr>
            <w:tcW w:w="7183" w:type="dxa"/>
            <w:gridSpan w:val="8"/>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Difference between times #  </w:t>
            </w:r>
          </w:p>
        </w:tc>
      </w:tr>
      <w:tr w:rsidR="00C35717" w:rsidRPr="00366106" w:rsidTr="00366106">
        <w:trPr>
          <w:trHeight w:val="326"/>
          <w:jc w:val="center"/>
        </w:trPr>
        <w:tc>
          <w:tcPr>
            <w:tcW w:w="1560" w:type="dxa"/>
            <w:gridSpan w:val="2"/>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Times </w:t>
            </w:r>
          </w:p>
        </w:tc>
        <w:tc>
          <w:tcPr>
            <w:tcW w:w="562"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N</w:t>
            </w:r>
          </w:p>
        </w:tc>
        <w:tc>
          <w:tcPr>
            <w:tcW w:w="1827"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Median (IQR)</w:t>
            </w:r>
          </w:p>
        </w:tc>
        <w:tc>
          <w:tcPr>
            <w:tcW w:w="1265" w:type="dxa"/>
            <w:gridSpan w:val="2"/>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Range </w:t>
            </w:r>
          </w:p>
        </w:tc>
        <w:tc>
          <w:tcPr>
            <w:tcW w:w="964"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z </w:t>
            </w:r>
          </w:p>
        </w:tc>
        <w:tc>
          <w:tcPr>
            <w:tcW w:w="1005"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p</w:t>
            </w:r>
          </w:p>
        </w:tc>
      </w:tr>
      <w:tr w:rsidR="00C35717" w:rsidRPr="00366106" w:rsidTr="00366106">
        <w:trPr>
          <w:trHeight w:val="326"/>
          <w:jc w:val="center"/>
        </w:trPr>
        <w:tc>
          <w:tcPr>
            <w:tcW w:w="1560" w:type="dxa"/>
            <w:gridSpan w:val="2"/>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Basal /  FU1</w:t>
            </w:r>
          </w:p>
        </w:tc>
        <w:tc>
          <w:tcPr>
            <w:tcW w:w="562"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12</w:t>
            </w:r>
          </w:p>
        </w:tc>
        <w:tc>
          <w:tcPr>
            <w:tcW w:w="1827"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-0.1 (-0.4–0.2)</w:t>
            </w:r>
          </w:p>
        </w:tc>
        <w:tc>
          <w:tcPr>
            <w:tcW w:w="1265" w:type="dxa"/>
            <w:gridSpan w:val="2"/>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-1.0–1.8</w:t>
            </w:r>
          </w:p>
        </w:tc>
        <w:tc>
          <w:tcPr>
            <w:tcW w:w="964"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-0.236</w:t>
            </w:r>
          </w:p>
        </w:tc>
        <w:tc>
          <w:tcPr>
            <w:tcW w:w="1005"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0.814</w:t>
            </w:r>
          </w:p>
        </w:tc>
      </w:tr>
      <w:tr w:rsidR="00C35717" w:rsidRPr="00366106" w:rsidTr="00366106">
        <w:trPr>
          <w:trHeight w:val="326"/>
          <w:jc w:val="center"/>
        </w:trPr>
        <w:tc>
          <w:tcPr>
            <w:tcW w:w="1560" w:type="dxa"/>
            <w:gridSpan w:val="2"/>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Basal /  FU2</w:t>
            </w:r>
          </w:p>
        </w:tc>
        <w:tc>
          <w:tcPr>
            <w:tcW w:w="562"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7</w:t>
            </w:r>
          </w:p>
        </w:tc>
        <w:tc>
          <w:tcPr>
            <w:tcW w:w="1827"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-0.1 (-2.0–0.4)</w:t>
            </w:r>
          </w:p>
        </w:tc>
        <w:tc>
          <w:tcPr>
            <w:tcW w:w="1265" w:type="dxa"/>
            <w:gridSpan w:val="2"/>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-2.4–0.5</w:t>
            </w:r>
          </w:p>
        </w:tc>
        <w:tc>
          <w:tcPr>
            <w:tcW w:w="964"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-1.014</w:t>
            </w:r>
          </w:p>
        </w:tc>
        <w:tc>
          <w:tcPr>
            <w:tcW w:w="1005"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0.310</w:t>
            </w:r>
          </w:p>
        </w:tc>
      </w:tr>
      <w:tr w:rsidR="00C35717" w:rsidRPr="00366106" w:rsidTr="00366106">
        <w:trPr>
          <w:trHeight w:val="326"/>
          <w:jc w:val="center"/>
        </w:trPr>
        <w:tc>
          <w:tcPr>
            <w:tcW w:w="1560" w:type="dxa"/>
            <w:gridSpan w:val="2"/>
            <w:tcBorders>
              <w:top w:val="single" w:sz="4" w:space="0" w:color="auto"/>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FU1 /  FU2</w:t>
            </w:r>
          </w:p>
        </w:tc>
        <w:tc>
          <w:tcPr>
            <w:tcW w:w="562"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7</w:t>
            </w:r>
          </w:p>
        </w:tc>
        <w:tc>
          <w:tcPr>
            <w:tcW w:w="1827"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-0.9 (-1.4–0.0)</w:t>
            </w:r>
          </w:p>
        </w:tc>
        <w:tc>
          <w:tcPr>
            <w:tcW w:w="1265" w:type="dxa"/>
            <w:gridSpan w:val="2"/>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-1.8–0.2</w:t>
            </w:r>
          </w:p>
        </w:tc>
        <w:tc>
          <w:tcPr>
            <w:tcW w:w="964"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-1.753</w:t>
            </w:r>
          </w:p>
        </w:tc>
        <w:tc>
          <w:tcPr>
            <w:tcW w:w="1005"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0.080</w:t>
            </w:r>
          </w:p>
        </w:tc>
      </w:tr>
    </w:tbl>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#Negative values indicate reduction, z: Wilcoxon signed rank test, *Significant</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Pr>
          <w:noProof/>
        </w:rPr>
        <w:pict>
          <v:shape id="Picture 2" o:spid="_x0000_s1026" type="#_x0000_t75" style="position:absolute;left:0;text-align:left;margin-left:0;margin-top:0;width:218.6pt;height:175.05pt;z-index:251658240;visibility:visible;mso-position-horizontal:left;mso-position-vertical:top">
            <v:imagedata r:id="rId8" o:title=""/>
            <w10:wrap type="square"/>
          </v:shape>
        </w:pict>
      </w:r>
      <w:r w:rsidRPr="00366106">
        <w:rPr>
          <w:rFonts w:cs="Simplified Arabic"/>
          <w:szCs w:val="28"/>
          <w:lang/>
        </w:rPr>
        <w:br/>
        <w:t>Figure (3): Height SD before and after treatment in rickets patients (Box and Whisker plot)</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 xml:space="preserve">Table (3):  Serum Alkaline phosphatase level before and after treatment in rickets cases </w:t>
      </w:r>
    </w:p>
    <w:tbl>
      <w:tblPr>
        <w:tblW w:w="8504" w:type="dxa"/>
        <w:jc w:val="center"/>
        <w:tblLook w:val="00A0"/>
      </w:tblPr>
      <w:tblGrid>
        <w:gridCol w:w="1678"/>
        <w:gridCol w:w="370"/>
        <w:gridCol w:w="1106"/>
        <w:gridCol w:w="2583"/>
        <w:gridCol w:w="2767"/>
      </w:tblGrid>
      <w:tr w:rsidR="00C35717" w:rsidRPr="00366106" w:rsidTr="00366106">
        <w:trPr>
          <w:trHeight w:val="373"/>
          <w:jc w:val="center"/>
        </w:trPr>
        <w:tc>
          <w:tcPr>
            <w:tcW w:w="1289" w:type="dxa"/>
            <w:tcBorders>
              <w:top w:val="single" w:sz="4" w:space="0" w:color="auto"/>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Time</w:t>
            </w:r>
          </w:p>
        </w:tc>
        <w:tc>
          <w:tcPr>
            <w:tcW w:w="1134" w:type="dxa"/>
            <w:gridSpan w:val="2"/>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Number </w:t>
            </w:r>
          </w:p>
        </w:tc>
        <w:tc>
          <w:tcPr>
            <w:tcW w:w="1985"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High</w:t>
            </w:r>
          </w:p>
        </w:tc>
        <w:tc>
          <w:tcPr>
            <w:tcW w:w="2126"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Normal</w:t>
            </w:r>
          </w:p>
        </w:tc>
      </w:tr>
      <w:tr w:rsidR="00C35717" w:rsidRPr="00366106" w:rsidTr="00366106">
        <w:trPr>
          <w:trHeight w:val="373"/>
          <w:jc w:val="center"/>
        </w:trPr>
        <w:tc>
          <w:tcPr>
            <w:tcW w:w="1289"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Basal</w:t>
            </w:r>
          </w:p>
        </w:tc>
        <w:tc>
          <w:tcPr>
            <w:tcW w:w="1134" w:type="dxa"/>
            <w:gridSpan w:val="2"/>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13</w:t>
            </w:r>
          </w:p>
        </w:tc>
        <w:tc>
          <w:tcPr>
            <w:tcW w:w="1985"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11 (84.6%)</w:t>
            </w:r>
          </w:p>
        </w:tc>
        <w:tc>
          <w:tcPr>
            <w:tcW w:w="2126"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2 (15.4%)</w:t>
            </w:r>
          </w:p>
        </w:tc>
      </w:tr>
      <w:tr w:rsidR="00C35717" w:rsidRPr="00366106" w:rsidTr="00366106">
        <w:trPr>
          <w:trHeight w:val="373"/>
          <w:jc w:val="center"/>
        </w:trPr>
        <w:tc>
          <w:tcPr>
            <w:tcW w:w="1289"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FU1</w:t>
            </w:r>
          </w:p>
        </w:tc>
        <w:tc>
          <w:tcPr>
            <w:tcW w:w="1134" w:type="dxa"/>
            <w:gridSpan w:val="2"/>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13</w:t>
            </w:r>
          </w:p>
        </w:tc>
        <w:tc>
          <w:tcPr>
            <w:tcW w:w="1985"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7 (53.8%)</w:t>
            </w:r>
          </w:p>
        </w:tc>
        <w:tc>
          <w:tcPr>
            <w:tcW w:w="2126"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6 (46.2%)</w:t>
            </w:r>
          </w:p>
        </w:tc>
      </w:tr>
      <w:tr w:rsidR="00C35717" w:rsidRPr="00366106" w:rsidTr="00366106">
        <w:trPr>
          <w:trHeight w:val="373"/>
          <w:jc w:val="center"/>
        </w:trPr>
        <w:tc>
          <w:tcPr>
            <w:tcW w:w="1289" w:type="dxa"/>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FU2</w:t>
            </w:r>
          </w:p>
        </w:tc>
        <w:tc>
          <w:tcPr>
            <w:tcW w:w="1134" w:type="dxa"/>
            <w:gridSpan w:val="2"/>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11</w:t>
            </w:r>
          </w:p>
        </w:tc>
        <w:tc>
          <w:tcPr>
            <w:tcW w:w="1985"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6 (54.5%)</w:t>
            </w:r>
          </w:p>
        </w:tc>
        <w:tc>
          <w:tcPr>
            <w:tcW w:w="2126" w:type="dxa"/>
            <w:tcBorders>
              <w:top w:val="nil"/>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5 (45.5%)</w:t>
            </w:r>
          </w:p>
        </w:tc>
      </w:tr>
      <w:tr w:rsidR="00C35717" w:rsidRPr="00366106" w:rsidTr="00366106">
        <w:trPr>
          <w:trHeight w:val="373"/>
          <w:jc w:val="center"/>
        </w:trPr>
        <w:tc>
          <w:tcPr>
            <w:tcW w:w="6534" w:type="dxa"/>
            <w:gridSpan w:val="5"/>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Difference between times#  </w:t>
            </w:r>
          </w:p>
        </w:tc>
      </w:tr>
      <w:tr w:rsidR="00C35717" w:rsidRPr="00366106" w:rsidTr="00366106">
        <w:trPr>
          <w:trHeight w:val="373"/>
          <w:jc w:val="center"/>
        </w:trPr>
        <w:tc>
          <w:tcPr>
            <w:tcW w:w="1573" w:type="dxa"/>
            <w:gridSpan w:val="2"/>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Times </w:t>
            </w:r>
          </w:p>
        </w:tc>
        <w:tc>
          <w:tcPr>
            <w:tcW w:w="850"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N</w:t>
            </w:r>
          </w:p>
        </w:tc>
        <w:tc>
          <w:tcPr>
            <w:tcW w:w="1985"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Improvement</w:t>
            </w:r>
          </w:p>
        </w:tc>
        <w:tc>
          <w:tcPr>
            <w:tcW w:w="2126"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P</w:t>
            </w:r>
          </w:p>
        </w:tc>
      </w:tr>
      <w:tr w:rsidR="00C35717" w:rsidRPr="00366106" w:rsidTr="00366106">
        <w:trPr>
          <w:trHeight w:val="373"/>
          <w:jc w:val="center"/>
        </w:trPr>
        <w:tc>
          <w:tcPr>
            <w:tcW w:w="1573" w:type="dxa"/>
            <w:gridSpan w:val="2"/>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Basal /  FU1</w:t>
            </w:r>
          </w:p>
        </w:tc>
        <w:tc>
          <w:tcPr>
            <w:tcW w:w="850"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13</w:t>
            </w:r>
          </w:p>
        </w:tc>
        <w:tc>
          <w:tcPr>
            <w:tcW w:w="1985"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-30.8%</w:t>
            </w:r>
          </w:p>
        </w:tc>
        <w:tc>
          <w:tcPr>
            <w:tcW w:w="2126"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0.125</w:t>
            </w:r>
          </w:p>
        </w:tc>
      </w:tr>
      <w:tr w:rsidR="00C35717" w:rsidRPr="00366106" w:rsidTr="00366106">
        <w:trPr>
          <w:trHeight w:val="373"/>
          <w:jc w:val="center"/>
        </w:trPr>
        <w:tc>
          <w:tcPr>
            <w:tcW w:w="1573" w:type="dxa"/>
            <w:gridSpan w:val="2"/>
            <w:tcBorders>
              <w:top w:val="nil"/>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Basal /  FU2</w:t>
            </w:r>
          </w:p>
        </w:tc>
        <w:tc>
          <w:tcPr>
            <w:tcW w:w="850"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11</w:t>
            </w:r>
          </w:p>
        </w:tc>
        <w:tc>
          <w:tcPr>
            <w:tcW w:w="1985"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-30.1%</w:t>
            </w:r>
          </w:p>
        </w:tc>
        <w:tc>
          <w:tcPr>
            <w:tcW w:w="2126"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0.250</w:t>
            </w:r>
          </w:p>
        </w:tc>
      </w:tr>
      <w:tr w:rsidR="00C35717" w:rsidRPr="00366106" w:rsidTr="00366106">
        <w:trPr>
          <w:trHeight w:val="373"/>
          <w:jc w:val="center"/>
        </w:trPr>
        <w:tc>
          <w:tcPr>
            <w:tcW w:w="1573" w:type="dxa"/>
            <w:gridSpan w:val="2"/>
            <w:tcBorders>
              <w:top w:val="single" w:sz="4" w:space="0" w:color="auto"/>
              <w:left w:val="single" w:sz="4" w:space="0" w:color="auto"/>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 FU1 /  FU2</w:t>
            </w:r>
          </w:p>
        </w:tc>
        <w:tc>
          <w:tcPr>
            <w:tcW w:w="850" w:type="dxa"/>
            <w:tcBorders>
              <w:top w:val="single" w:sz="4" w:space="0" w:color="auto"/>
              <w:left w:val="nil"/>
              <w:bottom w:val="single" w:sz="4" w:space="0" w:color="auto"/>
              <w:right w:val="single" w:sz="4" w:space="0" w:color="auto"/>
            </w:tcBorders>
            <w:noWrap/>
            <w:vAlign w:val="center"/>
          </w:tcPr>
          <w:p w:rsidR="00C35717" w:rsidRPr="00366106" w:rsidRDefault="00C35717" w:rsidP="00366106">
            <w:pPr>
              <w:rPr>
                <w:rFonts w:cs="Simplified Arabic"/>
                <w:szCs w:val="28"/>
                <w:lang/>
              </w:rPr>
            </w:pPr>
            <w:r w:rsidRPr="00366106">
              <w:rPr>
                <w:rFonts w:cs="Simplified Arabic"/>
                <w:szCs w:val="28"/>
                <w:lang/>
              </w:rPr>
              <w:t>11</w:t>
            </w:r>
          </w:p>
        </w:tc>
        <w:tc>
          <w:tcPr>
            <w:tcW w:w="1985"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0.7%</w:t>
            </w:r>
          </w:p>
        </w:tc>
        <w:tc>
          <w:tcPr>
            <w:tcW w:w="2126" w:type="dxa"/>
            <w:tcBorders>
              <w:top w:val="single" w:sz="4" w:space="0" w:color="auto"/>
              <w:left w:val="nil"/>
              <w:bottom w:val="single" w:sz="4" w:space="0" w:color="auto"/>
              <w:right w:val="single" w:sz="4" w:space="0" w:color="auto"/>
            </w:tcBorders>
            <w:vAlign w:val="center"/>
          </w:tcPr>
          <w:p w:rsidR="00C35717" w:rsidRPr="00366106" w:rsidRDefault="00C35717" w:rsidP="00366106">
            <w:pPr>
              <w:rPr>
                <w:rFonts w:cs="Simplified Arabic"/>
                <w:szCs w:val="28"/>
                <w:lang/>
              </w:rPr>
            </w:pPr>
            <w:r w:rsidRPr="00366106">
              <w:rPr>
                <w:rFonts w:cs="Simplified Arabic"/>
                <w:szCs w:val="28"/>
                <w:lang/>
              </w:rPr>
              <w:t>1.000</w:t>
            </w:r>
          </w:p>
        </w:tc>
      </w:tr>
    </w:tbl>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#Negative values indicate reduction, ^McNemar test, *Significant</w:t>
      </w:r>
    </w:p>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pict>
          <v:shape id="Picture 5" o:spid="_x0000_i1026" type="#_x0000_t75" style="width:270pt;height:180pt;visibility:visible">
            <v:imagedata r:id="rId9" o:title=""/>
          </v:shape>
        </w:pict>
      </w:r>
    </w:p>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Figure (4): Frequency of high serum alkaline phosphatase before and after treatment in rickets cases</w:t>
      </w:r>
    </w:p>
    <w:p w:rsidR="00C35717" w:rsidRPr="00366106" w:rsidRDefault="00C35717" w:rsidP="00366106">
      <w:pPr>
        <w:autoSpaceDE w:val="0"/>
        <w:autoSpaceDN w:val="0"/>
        <w:adjustRightInd w:val="0"/>
        <w:spacing w:after="0" w:line="360" w:lineRule="auto"/>
        <w:ind w:firstLine="425"/>
        <w:jc w:val="both"/>
        <w:rPr>
          <w:rFonts w:eastAsia="ScalaLancetPro" w:cs="Simplified Arabic"/>
          <w:szCs w:val="28"/>
          <w:lang/>
        </w:rPr>
      </w:pPr>
      <w:r w:rsidRPr="00366106">
        <w:rPr>
          <w:rFonts w:eastAsia="ScalaLancetPro" w:cs="Simplified Arabic"/>
          <w:szCs w:val="28"/>
          <w:lang/>
        </w:rPr>
        <w:t>Discussion</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cs="Simplified Arabic"/>
          <w:szCs w:val="28"/>
          <w:lang/>
        </w:rPr>
        <w:t>Hereditary rickets (HR) can be classified into two major groups: calcipenic and phosphopenic rickets. </w:t>
      </w:r>
      <w:r w:rsidRPr="00366106">
        <w:rPr>
          <w:rFonts w:eastAsia="Meta" w:cs="Simplified Arabic"/>
          <w:szCs w:val="28"/>
          <w:lang/>
        </w:rPr>
        <w:t xml:space="preserve">The present study included only 13 children with HR over 2 years of study, reflecting the rarity of the disease. Another study by </w:t>
      </w:r>
      <w:r w:rsidRPr="00366106">
        <w:rPr>
          <w:rFonts w:eastAsia="MetaPlus" w:cs="Simplified Arabic"/>
          <w:szCs w:val="28"/>
          <w:lang/>
        </w:rPr>
        <w:t xml:space="preserve">Caetano et al. (2012) reported 11 patients with </w:t>
      </w:r>
      <w:r w:rsidRPr="00366106">
        <w:rPr>
          <w:rFonts w:eastAsia="Meta" w:cs="Simplified Arabic"/>
          <w:szCs w:val="28"/>
          <w:lang/>
        </w:rPr>
        <w:t>hypophosphataemic rickets over a period of 10 years.</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eastAsia="Meta" w:cs="Simplified Arabic"/>
          <w:szCs w:val="28"/>
          <w:lang/>
        </w:rPr>
        <w:t xml:space="preserve">The median age at presentation was 3 years </w:t>
      </w:r>
      <w:r w:rsidRPr="00366106">
        <w:rPr>
          <w:rFonts w:cs="Simplified Arabic"/>
          <w:szCs w:val="28"/>
          <w:lang/>
        </w:rPr>
        <w:t>(IQR 2.0–4.3)</w:t>
      </w:r>
      <w:r w:rsidRPr="00366106">
        <w:rPr>
          <w:rFonts w:eastAsia="Meta" w:cs="Simplified Arabic"/>
          <w:szCs w:val="28"/>
          <w:lang/>
        </w:rPr>
        <w:t xml:space="preserve">, with range varying from 16 months to 18 years. They all had bony pains, skeletal deformities in the form of bowing of legs and broad thickened </w:t>
      </w:r>
      <w:r w:rsidRPr="00366106">
        <w:rPr>
          <w:rFonts w:cs="Simplified Arabic"/>
          <w:szCs w:val="28"/>
          <w:lang/>
        </w:rPr>
        <w:t>wrists and ankles as well as frontal bossing.  Delayed closure of the anterior fontanelle was noted only in 2 patients who were 12 &amp; 16 months of age at presentation</w:t>
      </w:r>
      <w:r w:rsidRPr="00366106">
        <w:rPr>
          <w:rFonts w:eastAsia="Meta" w:cs="Simplified Arabic"/>
          <w:szCs w:val="28"/>
          <w:lang/>
        </w:rPr>
        <w:t xml:space="preserve">, others were older and this could not be reported from their mothers. Rosary beads and pigeon chest were evident in the first 3 patients who proved with laboratory results to have calcipenic rickets. </w:t>
      </w:r>
      <w:r w:rsidRPr="00366106">
        <w:rPr>
          <w:rFonts w:cs="Simplified Arabic"/>
          <w:szCs w:val="28"/>
          <w:lang/>
        </w:rPr>
        <w:t>Only one patient had alopecia totalis with severe skeletal deformities.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eastAsia="Meta" w:cs="Simplified Arabic"/>
          <w:szCs w:val="28"/>
          <w:lang/>
        </w:rPr>
        <w:t xml:space="preserve">All studied patients with HR had </w:t>
      </w:r>
      <w:r w:rsidRPr="00366106">
        <w:rPr>
          <w:rFonts w:cs="Simplified Arabic"/>
          <w:szCs w:val="28"/>
          <w:lang/>
        </w:rPr>
        <w:t xml:space="preserve">severe dental caries, enamel hypoplasia and delayed teeth eruption reflecting failure of teeth mineralization but none of our cases had teeth abscesses although this was reported to be common particularly in hypophoaphatemic rickets </w:t>
      </w:r>
      <w:r w:rsidRPr="00366106">
        <w:rPr>
          <w:rFonts w:eastAsia="Arial Unicode MS" w:cs="Simplified Arabic"/>
          <w:szCs w:val="28"/>
          <w:lang/>
        </w:rPr>
        <w:t>(</w:t>
      </w:r>
      <w:r w:rsidRPr="00366106">
        <w:rPr>
          <w:rFonts w:cs="Simplified Arabic"/>
          <w:szCs w:val="28"/>
          <w:lang/>
        </w:rPr>
        <w:t>Malloy</w:t>
      </w:r>
      <w:r w:rsidRPr="00366106">
        <w:rPr>
          <w:rFonts w:eastAsia="Arial Unicode MS" w:cs="Simplified Arabic"/>
          <w:szCs w:val="28"/>
          <w:lang/>
        </w:rPr>
        <w:t xml:space="preserve"> et al., 2005, Drezner, 2006)</w:t>
      </w:r>
      <w:r w:rsidRPr="00366106">
        <w:rPr>
          <w:rFonts w:cs="Simplified Arabic"/>
          <w:szCs w:val="28"/>
          <w:lang/>
        </w:rPr>
        <w:t>.</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eastAsia="Meta" w:cs="Simplified Arabic"/>
          <w:szCs w:val="28"/>
          <w:lang/>
        </w:rPr>
        <w:t xml:space="preserve">The characteristic rachitic manifestations on x-rays of wrists, knees and ankles, </w:t>
      </w:r>
      <w:r w:rsidRPr="00366106">
        <w:rPr>
          <w:rFonts w:cs="Simplified Arabic"/>
          <w:szCs w:val="28"/>
          <w:lang/>
        </w:rPr>
        <w:t>with widening of the physeal plates and cupping and fraying of the adjacent metaphysic were seen in all patients.</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eastAsia="Meta" w:cs="Simplified Arabic"/>
          <w:szCs w:val="28"/>
          <w:lang/>
        </w:rPr>
        <w:tab/>
        <w:t xml:space="preserve">Four patients had calciopenic rickets with hypocalcemia and elevated alkaline phosphatase. </w:t>
      </w:r>
      <w:r w:rsidRPr="00366106">
        <w:rPr>
          <w:rFonts w:cs="Simplified Arabic"/>
          <w:szCs w:val="28"/>
          <w:lang/>
        </w:rPr>
        <w:t xml:space="preserve">They all exhibited secondary hyperparathyroidism with markedly elevated parathyroid hormone (PTH) levels. </w:t>
      </w:r>
      <w:r w:rsidRPr="00366106">
        <w:rPr>
          <w:rFonts w:eastAsia="Meta" w:cs="Simplified Arabic"/>
          <w:szCs w:val="28"/>
          <w:lang/>
        </w:rPr>
        <w:t>A history of positive consanguinity reflecting autosomal recessive inheritance pattern was present in all cases. Molecular analysis was not available and diagnosis was based on the clinical picture and response to treatment.</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eastAsia="Meta" w:cs="Simplified Arabic"/>
          <w:szCs w:val="28"/>
          <w:lang/>
        </w:rPr>
        <w:t xml:space="preserve">We started treatment for these four patients with </w:t>
      </w:r>
      <w:r w:rsidRPr="00366106">
        <w:rPr>
          <w:rFonts w:cs="Simplified Arabic"/>
          <w:szCs w:val="28"/>
          <w:lang/>
        </w:rPr>
        <w:t>physiologic doses of calcitriol (1</w:t>
      </w:r>
      <w:r w:rsidRPr="00366106">
        <w:rPr>
          <w:rFonts w:eastAsia="TimesNewRomanPSMT" w:cs="Simplified Arabic"/>
          <w:szCs w:val="28"/>
          <w:lang/>
        </w:rPr>
        <w:t>α</w:t>
      </w:r>
      <w:r w:rsidRPr="00366106">
        <w:rPr>
          <w:rFonts w:cs="Simplified Arabic"/>
          <w:szCs w:val="28"/>
          <w:lang/>
        </w:rPr>
        <w:t xml:space="preserve">-hydroxyvitamin D 0.05µ/kg/day) </w:t>
      </w:r>
      <w:r w:rsidRPr="00366106">
        <w:rPr>
          <w:rFonts w:eastAsia="Meta" w:cs="Simplified Arabic"/>
          <w:szCs w:val="28"/>
          <w:lang/>
        </w:rPr>
        <w:t xml:space="preserve">and calcium except for the patient with alopecia, who had severe skeletal deformities and bony pains </w:t>
      </w:r>
      <w:r w:rsidRPr="00366106">
        <w:rPr>
          <w:rFonts w:cs="Simplified Arabic"/>
          <w:szCs w:val="28"/>
          <w:lang/>
        </w:rPr>
        <w:t>with history of previous treatment with high doses of cholecalciferol without improvement.  This patient received very high doses of calcitriol and calcium and the doses were raised progressively without significant improvement denoting defective interaction between calcitriol and receptor and confirming the diagnosis of hereditary vitamin D-resistant rickets (HVDRR) with alopecia. Improvement was only noted in bony pains. Out of the other 3 patients with calciopenic rickets, one patient showed improvement and normalization of serum calcium and alkaline phosphatase after 6 months, normalization of phosphorous and parathormone after 9 months and there was improvement in height from -4.2SD to -2.4SD after 1 year.  So with good response to 1</w:t>
      </w:r>
      <w:r w:rsidRPr="00366106">
        <w:rPr>
          <w:rFonts w:eastAsia="TimesNewRomanPSMT" w:cs="Simplified Arabic"/>
          <w:szCs w:val="28"/>
          <w:lang/>
        </w:rPr>
        <w:t>α</w:t>
      </w:r>
      <w:r w:rsidRPr="00366106">
        <w:rPr>
          <w:rFonts w:cs="Simplified Arabic"/>
          <w:szCs w:val="28"/>
          <w:lang/>
        </w:rPr>
        <w:t>-hydroxyvitamin D the patient was diagnosed as 1α-Hydroxylase Deficiency (vitamin D dependent rickets type I (VDDR I) PDDR. Two patients without alopecia had severe rachitic manifestations without improvement with physiologic doses or progressively rising high doses of calcitriol and calcium supporting the diagnosis of</w:t>
      </w:r>
      <w:r w:rsidRPr="00366106">
        <w:rPr>
          <w:rFonts w:eastAsia="Meta" w:cs="Simplified Arabic"/>
          <w:szCs w:val="28"/>
          <w:lang/>
        </w:rPr>
        <w:t xml:space="preserve"> </w:t>
      </w:r>
      <w:r w:rsidRPr="00366106">
        <w:rPr>
          <w:rFonts w:cs="Simplified Arabic"/>
          <w:szCs w:val="28"/>
          <w:lang/>
        </w:rPr>
        <w:t>hereditary vitamin D-resistant rickets (HVDRR) without alopecia. The maximum dose reached in patients with HVDDR and HVDRR was 30 µ of calcitr</w:t>
      </w:r>
      <w:r w:rsidRPr="00366106">
        <w:rPr>
          <w:rFonts w:eastAsia="TimesNewRomanPSMT" w:cs="Simplified Arabic"/>
          <w:szCs w:val="28"/>
          <w:lang/>
        </w:rPr>
        <w:t>i</w:t>
      </w:r>
      <w:r w:rsidRPr="00366106">
        <w:rPr>
          <w:rFonts w:cs="Simplified Arabic"/>
          <w:szCs w:val="28"/>
          <w:lang/>
        </w:rPr>
        <w:t>ol and 1500mg of elemental calcium.</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ab/>
        <w:t>The</w:t>
      </w:r>
      <w:r w:rsidRPr="00366106">
        <w:rPr>
          <w:rFonts w:eastAsia="Meta" w:cs="Simplified Arabic"/>
          <w:szCs w:val="28"/>
          <w:lang/>
        </w:rPr>
        <w:t xml:space="preserve"> tr</w:t>
      </w:r>
      <w:r w:rsidRPr="00366106">
        <w:rPr>
          <w:rFonts w:cs="Simplified Arabic"/>
          <w:szCs w:val="28"/>
          <w:lang/>
        </w:rPr>
        <w:t>eatment protocol for patients with HVDRR is not standardized. Several reports describe intravenous calcium therapy to achieve normal serum calcium levels and healing of the rickets (Hochberg et al., 1992; Ma et al., 2009). There were also limited publications regarding the effectiveness of oral calcium therapy (Hochberg et al., 1992; Wong et al., 1994).</w:t>
      </w:r>
    </w:p>
    <w:p w:rsidR="00C35717" w:rsidRPr="00366106" w:rsidRDefault="00C35717" w:rsidP="00366106">
      <w:pPr>
        <w:pStyle w:val="ListParagraph"/>
        <w:autoSpaceDE w:val="0"/>
        <w:autoSpaceDN w:val="0"/>
        <w:adjustRightInd w:val="0"/>
        <w:spacing w:after="0" w:line="360" w:lineRule="auto"/>
        <w:ind w:left="0" w:firstLine="425"/>
        <w:jc w:val="both"/>
        <w:rPr>
          <w:rFonts w:cs="Simplified Arabic"/>
          <w:szCs w:val="28"/>
          <w:lang/>
        </w:rPr>
      </w:pPr>
      <w:r w:rsidRPr="00366106">
        <w:rPr>
          <w:rFonts w:cs="Simplified Arabic"/>
          <w:szCs w:val="28"/>
          <w:lang/>
        </w:rPr>
        <w:tab/>
        <w:t>The main problem with treatment in these patients was non-compliance due to the oral daily multiple dose regimens, the financial burden, the unavailability of the medications in some instances and the limited benefit noticed. In addition to the frequent follow up laboratory investigations including kidney functions to rule out any renal insult from the high doses of the calcitriol.</w:t>
      </w:r>
    </w:p>
    <w:p w:rsidR="00C35717" w:rsidRPr="00366106" w:rsidRDefault="00C35717" w:rsidP="00366106">
      <w:pPr>
        <w:pStyle w:val="ListParagraph"/>
        <w:autoSpaceDE w:val="0"/>
        <w:autoSpaceDN w:val="0"/>
        <w:adjustRightInd w:val="0"/>
        <w:spacing w:after="0" w:line="360" w:lineRule="auto"/>
        <w:ind w:left="0" w:firstLine="425"/>
        <w:jc w:val="both"/>
        <w:rPr>
          <w:rFonts w:cs="Simplified Arabic"/>
          <w:szCs w:val="28"/>
          <w:lang/>
        </w:rPr>
      </w:pPr>
      <w:r w:rsidRPr="00366106">
        <w:rPr>
          <w:rFonts w:eastAsia="Meta" w:cs="Simplified Arabic"/>
          <w:szCs w:val="28"/>
          <w:lang/>
        </w:rPr>
        <w:tab/>
        <w:t>The second group of HR in this study included nine patients with phosphopenic rickets (69.2%). These patients</w:t>
      </w:r>
      <w:r w:rsidRPr="00366106">
        <w:rPr>
          <w:rFonts w:cs="Simplified Arabic"/>
          <w:szCs w:val="28"/>
          <w:lang/>
        </w:rPr>
        <w:t xml:space="preserve"> had </w:t>
      </w:r>
      <w:r w:rsidRPr="00366106">
        <w:rPr>
          <w:rFonts w:eastAsia="Meta" w:cs="Simplified Arabic"/>
          <w:szCs w:val="28"/>
          <w:lang/>
        </w:rPr>
        <w:t xml:space="preserve">hypophosphataemia and increased alkaline phosphatase with normal calcium. They all had history of positive consanguinity suggesting autosomal recessive inheritance pattern. </w:t>
      </w:r>
      <w:r w:rsidRPr="00366106">
        <w:rPr>
          <w:rFonts w:cs="Simplified Arabic"/>
          <w:szCs w:val="28"/>
          <w:lang/>
        </w:rPr>
        <w:t xml:space="preserve">One patient had another similarly affected cousin, offspring of consanguineous parents supporting the possibility of AR hypophosphatemic rickets. However, </w:t>
      </w:r>
      <w:r w:rsidRPr="00366106">
        <w:rPr>
          <w:rFonts w:eastAsia="Meta" w:cs="Simplified Arabic"/>
          <w:szCs w:val="28"/>
          <w:lang/>
        </w:rPr>
        <w:t xml:space="preserve">2 affected sisters with an affected father raise the possibility of </w:t>
      </w:r>
      <w:r w:rsidRPr="00366106">
        <w:rPr>
          <w:rFonts w:cs="Simplified Arabic"/>
          <w:szCs w:val="28"/>
          <w:lang/>
        </w:rPr>
        <w:t>X-linked dominant hypophosphatemic rickets (XLH) being also the most common type of hereditary hypophosphatemic rickets as reported by Roth et al. (2009).</w:t>
      </w:r>
    </w:p>
    <w:p w:rsidR="00C35717" w:rsidRPr="00366106" w:rsidRDefault="00C35717" w:rsidP="00366106">
      <w:pPr>
        <w:pStyle w:val="ListParagraph"/>
        <w:autoSpaceDE w:val="0"/>
        <w:autoSpaceDN w:val="0"/>
        <w:adjustRightInd w:val="0"/>
        <w:spacing w:after="0" w:line="360" w:lineRule="auto"/>
        <w:ind w:left="0" w:firstLine="425"/>
        <w:jc w:val="both"/>
        <w:rPr>
          <w:rFonts w:cs="Simplified Arabic"/>
          <w:szCs w:val="28"/>
          <w:lang/>
        </w:rPr>
      </w:pPr>
      <w:r w:rsidRPr="00366106">
        <w:rPr>
          <w:rFonts w:eastAsia="Meta" w:cs="Simplified Arabic"/>
          <w:szCs w:val="28"/>
          <w:lang/>
        </w:rPr>
        <w:t>Genetic studies are the most recent tool to diagnose rickets. Although very helpful confirming the disease, they are expensive and not easily available worldwide (</w:t>
      </w:r>
      <w:r w:rsidRPr="00366106">
        <w:rPr>
          <w:rFonts w:eastAsia="MetaPlus" w:cs="Simplified Arabic"/>
          <w:szCs w:val="28"/>
          <w:lang/>
        </w:rPr>
        <w:t xml:space="preserve">Caetano et al., 2012). None of our cases had molecular diagnosis due to unavailable facilities in the meantime. </w:t>
      </w:r>
      <w:r w:rsidRPr="00366106">
        <w:rPr>
          <w:rFonts w:cs="Simplified Arabic"/>
          <w:szCs w:val="28"/>
          <w:lang/>
        </w:rPr>
        <w:t>All patients with hypophosphatemic rickets had bone deformities mainly bowing of legs with genu valgum, bony pain and broad wrists and ankles. Growth retardation was present in all except two (patients 10 &amp; 11), the oldest patient presented to us with severe short stature (height: -8.0 SD). Bone deformities sometimes required surgery for correction.</w:t>
      </w:r>
    </w:p>
    <w:p w:rsidR="00C35717" w:rsidRPr="00366106" w:rsidRDefault="00C35717" w:rsidP="00366106">
      <w:pPr>
        <w:pStyle w:val="ListParagraph"/>
        <w:autoSpaceDE w:val="0"/>
        <w:autoSpaceDN w:val="0"/>
        <w:adjustRightInd w:val="0"/>
        <w:spacing w:after="0" w:line="360" w:lineRule="auto"/>
        <w:ind w:left="0" w:firstLine="425"/>
        <w:jc w:val="both"/>
        <w:rPr>
          <w:rFonts w:eastAsia="Meta" w:cs="Simplified Arabic"/>
          <w:szCs w:val="28"/>
          <w:lang/>
        </w:rPr>
      </w:pPr>
      <w:r w:rsidRPr="00366106">
        <w:rPr>
          <w:rFonts w:eastAsia="Meta" w:cs="Simplified Arabic"/>
          <w:szCs w:val="28"/>
          <w:lang/>
        </w:rPr>
        <w:t>Although all patients had hypophosphatemia and elevated alkaline phosphatase, laboratory values varied depending on the stage of the disease and previous medication, explaining the different results in our study.</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All patients with hypophosphatemic rickets received active vitamin D and oral phosphate that was divided on several daily doses to insure adequate absorption and minimize the side effects. Doses were adjusted based on the laboratory follow up results.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 xml:space="preserve"> Improvement in bony pains and rachitic manifestations was noted but no improvement was detected in growth in the short cases. </w:t>
      </w:r>
      <w:r w:rsidRPr="00366106">
        <w:rPr>
          <w:rFonts w:eastAsia="Meta" w:cs="Simplified Arabic"/>
          <w:szCs w:val="28"/>
          <w:lang/>
        </w:rPr>
        <w:t xml:space="preserve">Two patients developed secondary hyperparathyroidism after previous normal parathormone level denoting </w:t>
      </w:r>
      <w:r w:rsidRPr="00366106">
        <w:rPr>
          <w:rFonts w:cs="Simplified Arabic"/>
          <w:szCs w:val="28"/>
          <w:lang/>
        </w:rPr>
        <w:t>over treatment with phosphate so the dose of phosphate was decreased.</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No information is available concerning the most effective dose of phosphate and how many times it should be administered in the treatment of patients with hypophosphatemic rickets (Fujiwara et al., 2013). In pediatric endocrinology and inborn errors of metabolism, 40–100 mg/kg/d, divided into 4 to 6 doses, is recommended. However, adherence tends to become poor when short intervals are selected (Roth et al., 2009).</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Patient compliance was the major problem as with calciopenic rickets as in addition to the previously reported problems with drug intake, oral phosphate preparation has a bad taste, results in gastric discomfort and diarrhea and the buffer is only prepared at a specific pharmacy at Abou-Elrish Hospital which made it difficult to obtain for  those living in different governorates.</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cs="Simplified Arabic"/>
          <w:szCs w:val="28"/>
          <w:lang/>
        </w:rPr>
        <w:t>The criteria for adjusting the dose of active vitamin D or phosphate buffer were various. One problem is that both serum phosphate and ALP values are age dependent, and normalization of serum phosphate levels and ALP was difficult. X-ray findings are not quantitative, and growth is long term. Thus, these indices are difficult to use in the short term. It is also critical to avoid side effects of the treatment. Thus, the doses of active vitamin D and phosphate should be reduced when hypercalciuria and secondary hyperparathyroidism are observed, respectively (Fujiwara et al., 2013).</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cs="Simplified Arabic"/>
          <w:szCs w:val="28"/>
          <w:lang/>
        </w:rPr>
        <w:t>Treatment with phosphate supplements and 1α vitamin D derivatives heals active lesions of rickets, but does not normalize growth of XLH patients. Patients might benefit from recombinant human growth hormone (rhGH) therapy, which may accelerate the growth rate without increasing body disproportion or correcting hypophosphatemia. These clinical data as well as research findings obtained in Hyp mice suggest that the pathogenesis of defective growth in XLH and other hypophosphatemic syndromes is not entirely dependent on the mineralization disorder and point to other effects of hypophosphatemia itself or fibroblast growth factor 23 (FGF23) on the metabolism of bone and growth plate (Santos et al., 2013).</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At present, there is no curative therapy for hereditary rickets, and active vitamin D and phosphate are administered to correct hypophosphatemia and elevation of ALP (Kienitz et al., 2011). However, normalization of the serum phosphate concentration is difficult due to elevation of FGF23, leading to increased excretion of phosphate into urine (Imel et al., 2010, Carpenter et al., 2010). Insufficient treatment is associated with growth retardation (Quinlan et al., 2012). On the other hand, over treatment with phosphate leads to secondary hyperparathyroidism, and large doses of active vitamin D increase the risk of hypercalciuria (Carpenter et al., 2011). Though a recommendation for treatment of hereditary rickets has been published, it is far from complete cure.</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Establishing an early diagnosis of these genetic forms of rickets is challenging, especially in developing countries where nutritional rickets (NR) is the most common variety of the disease. A prompt diagnosis is necessary to initiate adequate treatment, resolve biochemical features and prevent complications, such as severe deformities that may require surgical intervention (Donghi et al., 2011).</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cs="Simplified Arabic"/>
          <w:szCs w:val="28"/>
          <w:lang/>
        </w:rPr>
        <w:t>Indeed the diagnosis should be considered in any child presenting with angular deformity of the limbs and delayed growth (McBride et al., 2007). Without a correct diagnosis, early and perhaps inappropriate major surgery is doomed to failure. The goals of treatment are to prevent or correct limb deformity before skeletal maturity and to achieve optimal height (Whyte, 2002).</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cs="Simplified Arabic"/>
          <w:szCs w:val="28"/>
          <w:lang/>
        </w:rPr>
        <w:t>In conclusion, h</w:t>
      </w:r>
      <w:r w:rsidRPr="00366106">
        <w:rPr>
          <w:rFonts w:eastAsia="Meta" w:cs="Simplified Arabic"/>
          <w:szCs w:val="28"/>
          <w:lang/>
        </w:rPr>
        <w:t>ereditary rickets are rare group of metabolic bone disorders with significant long-term morbidity. They should be suspected in children presenting with short stature, developmental delay and orthopedic abnormalities with increased alkaline phosphatase, low serum phosphorus or calcium which confirm the diagnosis. Early diagnosis, supported by molecular studies and treatment are essential to minimize morbidity in children.</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eastAsia="Meta" w:cs="Simplified Arabic"/>
          <w:szCs w:val="28"/>
          <w:lang/>
        </w:rPr>
        <w:t>References</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Amatschek S, Haller M&amp; Oberbauer R. Renal phosphate handling in human-what can we learn from hereditary hypophosphataemias?" Eur J Clin Invest. 2010; 40: 552-560.</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eastAsia="MetaPlus" w:cs="Simplified Arabic"/>
          <w:szCs w:val="28"/>
          <w:lang/>
        </w:rPr>
        <w:t xml:space="preserve">Caetano JS, Cordinha C, Gomes C&amp; Correia AJ.  </w:t>
      </w:r>
      <w:r w:rsidRPr="00366106">
        <w:rPr>
          <w:rFonts w:cs="Simplified Arabic"/>
          <w:szCs w:val="28"/>
          <w:lang/>
        </w:rPr>
        <w:t>Hereditary hypophosphataemic rickets: experience from a paediatric nephrology unit. Port J Nephrol Hypert. 2012; 26: 278-284.</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Carpenter TO, Imel EA, Holm IA, Jan de Beur SM, Insogna KL. A clinician’s guide to X-linked hypophosphatemia. J Bone Miner Res 2011; 26:1381–1388.</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Carpenter TO, Insogna KL, Zhang JH, Ellis B, Nieman S, Simpson C, et al. Circulating levels of soluble klotho and FGF23 in X-linked hypophosphatemia: circadian variance, effects of treatment, and relationship to parathyroid status. J Clin Endocrinol Metab 2010; 95: 352–357.</w:t>
      </w:r>
    </w:p>
    <w:p w:rsidR="00C35717" w:rsidRPr="00366106" w:rsidRDefault="00C35717" w:rsidP="00366106">
      <w:pPr>
        <w:autoSpaceDE w:val="0"/>
        <w:autoSpaceDN w:val="0"/>
        <w:adjustRightInd w:val="0"/>
        <w:spacing w:after="0" w:line="360" w:lineRule="auto"/>
        <w:ind w:firstLine="425"/>
        <w:jc w:val="both"/>
        <w:rPr>
          <w:rFonts w:eastAsia="ScalaLancetPro" w:cs="Simplified Arabic"/>
          <w:szCs w:val="28"/>
          <w:lang/>
        </w:rPr>
      </w:pPr>
      <w:r w:rsidRPr="00366106">
        <w:rPr>
          <w:rFonts w:eastAsia="ScalaLancetPro" w:cs="Simplified Arabic"/>
          <w:szCs w:val="28"/>
          <w:lang/>
        </w:rPr>
        <w:t>Craviari T, Pettifor JM, Thacher TD, Meisner C, Arnaud J, Fischer PR, for the Rickets Convergence Group. Rickets: an overview and future directions, with special reference to Bangladesh. J Health Popul Nutr. 2008; 26: 112–121.</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Donghi V, Di Frenna M, di Lascio A, Chiumello G&amp; Weber G. Vitamin D dependent rickets, diagnostic and therapeutic difficulties: two case reports. J Pediatr Endocrinol Metab. 2011; 24:801-805.</w:t>
      </w:r>
    </w:p>
    <w:p w:rsidR="00C35717" w:rsidRPr="00366106" w:rsidRDefault="00C35717" w:rsidP="00366106">
      <w:pPr>
        <w:autoSpaceDE w:val="0"/>
        <w:autoSpaceDN w:val="0"/>
        <w:adjustRightInd w:val="0"/>
        <w:spacing w:after="0" w:line="360" w:lineRule="auto"/>
        <w:ind w:firstLine="425"/>
        <w:jc w:val="both"/>
        <w:rPr>
          <w:rFonts w:eastAsia="Arial Unicode MS" w:cs="Simplified Arabic"/>
          <w:szCs w:val="28"/>
          <w:lang/>
        </w:rPr>
      </w:pPr>
      <w:r w:rsidRPr="00366106">
        <w:rPr>
          <w:rFonts w:eastAsia="Arial Unicode MS" w:cs="Simplified Arabic"/>
          <w:szCs w:val="28"/>
          <w:lang/>
        </w:rPr>
        <w:t>Drezner MK. Osteomalacia and Rickets. In Seibel MJ, Robins SP &amp; John P(eds). Dynamics of Bone and Cartilage Metabolism (Second Edition). 2006:  739–754.</w:t>
      </w:r>
    </w:p>
    <w:p w:rsidR="00C35717" w:rsidRPr="00366106" w:rsidRDefault="00C35717" w:rsidP="00366106">
      <w:pPr>
        <w:autoSpaceDE w:val="0"/>
        <w:autoSpaceDN w:val="0"/>
        <w:adjustRightInd w:val="0"/>
        <w:spacing w:after="0" w:line="360" w:lineRule="auto"/>
        <w:ind w:firstLine="425"/>
        <w:jc w:val="both"/>
        <w:rPr>
          <w:rFonts w:eastAsia="ScalaLancetPro" w:cs="Simplified Arabic"/>
          <w:szCs w:val="28"/>
          <w:lang/>
        </w:rPr>
      </w:pPr>
      <w:r w:rsidRPr="00366106">
        <w:rPr>
          <w:rFonts w:cs="Simplified Arabic"/>
          <w:szCs w:val="28"/>
          <w:lang/>
        </w:rPr>
        <w:t xml:space="preserve">Elder CJ&amp; Bishop NJ. </w:t>
      </w:r>
      <w:r w:rsidRPr="00366106">
        <w:rPr>
          <w:rFonts w:eastAsia="ScalaLancetPro" w:cs="Simplified Arabic"/>
          <w:szCs w:val="28"/>
          <w:lang/>
        </w:rPr>
        <w:t xml:space="preserve">Rickets. Lancet 2014. </w:t>
      </w:r>
      <w:r w:rsidRPr="00366106">
        <w:rPr>
          <w:rFonts w:cs="Simplified Arabic"/>
          <w:szCs w:val="28"/>
          <w:lang/>
        </w:rPr>
        <w:t>Published online January 10, 2014 http://dx.doi.org/10.1016/S0140-6736(13)61650-5</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Fujiwara M, Namba N, Ozono K, Arisaka O, Yokoya S&amp; Committee on Drugs, Japanese Society for Pediatric Endocrinology. Treatment of Hypophosphatemic Rickets with Phosphate and Active Vitamin D in Japan: A Questionnaire-based Survey. Clin Pediatr Endocrinol. 2013; 22: 9–14.</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Hochberg Z, Tiosano D, Even L. Calcium therapy for calcitriol-resistant rickets. J Pediatr 1992;121:803–808.</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Imel EA, DiMeglio LA, Hui SL, Carpenter TO, Econs MJ. Treatment of X-linked hypophosphatemia with calcitriol and phosphate increases circulating fibroblast growth factor 23 concentrations. J Clin Endocrinol Metab. 2010; 95: 1846–1850.</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Kienitz T, Ventz M, Kaminsky E, Quinkler M. Novel PHEX nonsense mutation in a patient with X-linked hypophosphatemic rickets and review of current therapeutic regimens. Exp Clin Endocrinol Diabetes 2011; 119:431–435.</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Kim CJ, Kaplan LE, Perwad F, Huang N, Sharma A, Choi Y, et al. Vitamin D 1α-hydroxylase gene mutations in patients with 1α-hydroxylase deficiency. J Clin Endocrinol Metab 2007; 92: 3177-3182.</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Kim CJ. Vitamin D dependent rickets type I. Korean J Pediatr 2011; 54: 51-54.</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Lorenz-Depiereux B, Benet-Pages A, Eckstein G, Tenenbaum-Rakover Y, Wagenstaller J, Tiosano D, et al. Hereditary Hypophosphatemic Rickets with Hypercalciuria is Caused by Mutations in the Sodium-Phosphate Cotransporter Gene SLC34A3. Am J Hum Genet 2006;78:193–201.</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Ma NS, Malloy PJ,Pitukcheewanont P,Dreimane D, Geffner ME&amp; Feldman D. Hereditary vitamin D resistant rickets: Identification of a novel splice site mutation in the vitamin D receptor gene and successful treatment with oral calcium therapy. Bone.2009; 45:743-746.</w:t>
      </w:r>
    </w:p>
    <w:p w:rsidR="00C35717" w:rsidRPr="00366106" w:rsidRDefault="00C35717" w:rsidP="00366106">
      <w:pPr>
        <w:spacing w:after="0" w:line="360" w:lineRule="auto"/>
        <w:ind w:firstLine="425"/>
        <w:jc w:val="both"/>
        <w:rPr>
          <w:rFonts w:cs="Simplified Arabic"/>
          <w:szCs w:val="28"/>
          <w:lang/>
        </w:rPr>
      </w:pPr>
      <w:r w:rsidRPr="00366106">
        <w:rPr>
          <w:rFonts w:cs="Simplified Arabic"/>
          <w:szCs w:val="28"/>
          <w:lang/>
        </w:rPr>
        <w:t>Malloy PJ&amp; Feldman D. Genetic disorders and defects in vitamin d action. Endocrinol Metab Clin North Am. 2010; 39:333-346.</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Malloy PJ, Pike JW&amp; Feldman D. Hereditary 1,25-dihydroxyvitamin D resistant rickets. In: Feldman D, Pike JW&amp; Glorieux F (eds). Vitamin D.2. San Diego: Elsevier. 2005:1207-1238.</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McBride A, Edwards M, Monsell F, Gargan M. Vitamin D-resistant rickets (X-linked hypophosphataemic rickets).Current Orthopaedics. 2007; 21; 396-399.</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eastAsia="ScalaLancetPro" w:cs="Simplified Arabic"/>
          <w:szCs w:val="28"/>
          <w:lang/>
        </w:rPr>
        <w:t>Misra M, Pacaud D, Petryk A, Collett-Solberg PF, Kappy M, and the Drug and Therapeutics Committee of the Lawson Wilkins Pediatric Endocrine Society. Vitamin D defi ciency in children and its management: review of current knowledge and recommendations. Pediatrics 2008; 122: 398–417.</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Quinlan C, Guegan K, Offiah A, Neill RO, Hiorns MP, Ellard S, et al. Growth in PHEXassociated X-linked hypophosphatemic rickets: the importance of early treatment. Pediatr Nephrol 2012; 27: 581–588.</w:t>
      </w:r>
    </w:p>
    <w:p w:rsidR="00C35717" w:rsidRPr="00366106" w:rsidRDefault="00C35717" w:rsidP="00366106">
      <w:pPr>
        <w:pStyle w:val="NormalWeb"/>
        <w:spacing w:before="0" w:beforeAutospacing="0" w:after="0" w:afterAutospacing="0" w:line="360" w:lineRule="auto"/>
        <w:ind w:firstLine="425"/>
        <w:jc w:val="both"/>
        <w:rPr>
          <w:rFonts w:cs="Simplified Arabic"/>
          <w:szCs w:val="28"/>
          <w:lang/>
        </w:rPr>
      </w:pPr>
      <w:r w:rsidRPr="00366106">
        <w:rPr>
          <w:rFonts w:cs="Simplified Arabic"/>
          <w:szCs w:val="28"/>
          <w:lang/>
        </w:rPr>
        <w:t>Roth KS, Ward RJ, Chan JCM&amp; Sarafoglou K. Disorders of calcium, phosphate and bone metabolism. In: Sarafoglou K, Hoffmann GF&amp; Roth KS (eds). Pediatric Endocrinology and Inborn Errors of Metabolism. New York, NY: McGraw Hill; 2009:619-664.</w:t>
      </w:r>
    </w:p>
    <w:p w:rsidR="00C35717" w:rsidRPr="00366106" w:rsidRDefault="00C35717" w:rsidP="00366106">
      <w:pPr>
        <w:autoSpaceDE w:val="0"/>
        <w:autoSpaceDN w:val="0"/>
        <w:adjustRightInd w:val="0"/>
        <w:spacing w:after="0" w:line="360" w:lineRule="auto"/>
        <w:ind w:firstLine="425"/>
        <w:jc w:val="both"/>
        <w:rPr>
          <w:rFonts w:eastAsia="Meta" w:cs="Simplified Arabic"/>
          <w:szCs w:val="28"/>
          <w:lang/>
        </w:rPr>
      </w:pPr>
      <w:r w:rsidRPr="00366106">
        <w:rPr>
          <w:rFonts w:cs="Simplified Arabic"/>
          <w:szCs w:val="28"/>
          <w:lang/>
        </w:rPr>
        <w:t>Sahay M &amp; Sahay R. Renal rickets-practical approach.  Indian J Endocrinol Metab. 2013; 17: 35–44.</w:t>
      </w:r>
    </w:p>
    <w:p w:rsidR="00C35717" w:rsidRPr="00366106" w:rsidRDefault="00C35717" w:rsidP="00366106">
      <w:pPr>
        <w:pStyle w:val="NormalWeb"/>
        <w:spacing w:before="0" w:beforeAutospacing="0" w:after="0" w:afterAutospacing="0" w:line="360" w:lineRule="auto"/>
        <w:ind w:firstLine="425"/>
        <w:jc w:val="both"/>
        <w:rPr>
          <w:rFonts w:cs="Simplified Arabic"/>
          <w:szCs w:val="28"/>
          <w:lang/>
        </w:rPr>
      </w:pPr>
      <w:r w:rsidRPr="00366106">
        <w:rPr>
          <w:rFonts w:cs="Simplified Arabic"/>
          <w:szCs w:val="28"/>
          <w:lang/>
        </w:rPr>
        <w:t>Santos F, Fuente R, Mejia N, Mantecon L, Gil-Peña H&amp; Ordoñez FA. Hypophosphatemia and growth. Pediatr Nephrol.  2013; 28:595-603. </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Whyte MP&amp; Thakker RV . Rickets and osteomalacia. Medicine. 2013; 41 : 594-599.</w:t>
      </w:r>
    </w:p>
    <w:p w:rsidR="00C35717" w:rsidRPr="00366106" w:rsidRDefault="00C35717" w:rsidP="00366106">
      <w:pPr>
        <w:pStyle w:val="NormalWeb"/>
        <w:spacing w:before="0" w:beforeAutospacing="0" w:after="0" w:afterAutospacing="0" w:line="360" w:lineRule="auto"/>
        <w:ind w:firstLine="425"/>
        <w:jc w:val="both"/>
        <w:rPr>
          <w:rFonts w:cs="Simplified Arabic"/>
          <w:szCs w:val="28"/>
          <w:lang/>
        </w:rPr>
      </w:pPr>
      <w:r w:rsidRPr="00366106">
        <w:rPr>
          <w:rFonts w:cs="Simplified Arabic"/>
          <w:szCs w:val="28"/>
          <w:lang/>
        </w:rPr>
        <w:t>Whyte MP. Rickets and osteomalacia (acquired and heritable forms). In: Wass JAH&amp; Shalet SM (eds). Oxford textbook of endocrinology and diabetes. Oxford: Oxford University Press. 2002:707–710.</w:t>
      </w:r>
    </w:p>
    <w:p w:rsidR="00C35717" w:rsidRPr="00366106" w:rsidRDefault="00C35717" w:rsidP="00366106">
      <w:pPr>
        <w:autoSpaceDE w:val="0"/>
        <w:autoSpaceDN w:val="0"/>
        <w:adjustRightInd w:val="0"/>
        <w:spacing w:after="0" w:line="360" w:lineRule="auto"/>
        <w:ind w:firstLine="425"/>
        <w:jc w:val="both"/>
        <w:rPr>
          <w:rFonts w:cs="Simplified Arabic"/>
          <w:szCs w:val="28"/>
          <w:lang/>
        </w:rPr>
      </w:pPr>
      <w:r w:rsidRPr="00366106">
        <w:rPr>
          <w:rFonts w:cs="Simplified Arabic"/>
          <w:szCs w:val="28"/>
          <w:lang/>
        </w:rPr>
        <w:t>Wong GW, Leung SS, LawWY, Cheung NK, Oppenheimer SJ. Oral calcium treatment in vitamin D-dependent rickets type II. J Paediatr Child Health 1994; 30: 444–446.</w:t>
      </w:r>
    </w:p>
    <w:sectPr w:rsidR="00C35717" w:rsidRPr="00366106" w:rsidSect="00366106">
      <w:headerReference w:type="default" r:id="rId10"/>
      <w:footerReference w:type="default" r:id="rId11"/>
      <w:pgSz w:w="11907" w:h="1683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717" w:rsidRDefault="00C35717" w:rsidP="00070391">
      <w:pPr>
        <w:spacing w:after="0" w:line="240" w:lineRule="auto"/>
      </w:pPr>
      <w:r>
        <w:separator/>
      </w:r>
    </w:p>
  </w:endnote>
  <w:endnote w:type="continuationSeparator" w:id="1">
    <w:p w:rsidR="00C35717" w:rsidRDefault="00C35717" w:rsidP="00070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ScalaLancetPro">
    <w:altName w:val="MS Mincho"/>
    <w:panose1 w:val="00000000000000000000"/>
    <w:charset w:val="80"/>
    <w:family w:val="auto"/>
    <w:notTrueType/>
    <w:pitch w:val="default"/>
    <w:sig w:usb0="00000001" w:usb1="08070000" w:usb2="00000010" w:usb3="00000000" w:csb0="00020000" w:csb1="00000000"/>
  </w:font>
  <w:font w:name="Meta">
    <w:altName w:val="MS Mincho"/>
    <w:panose1 w:val="00000000000000000000"/>
    <w:charset w:val="80"/>
    <w:family w:val="auto"/>
    <w:notTrueType/>
    <w:pitch w:val="default"/>
    <w:sig w:usb0="00000001" w:usb1="08070000" w:usb2="00000010" w:usb3="00000000" w:csb0="00020000" w:csb1="00000000"/>
  </w:font>
  <w:font w:name="MetaPlus">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17" w:rsidRPr="00366106" w:rsidRDefault="00C35717" w:rsidP="003661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717" w:rsidRDefault="00C35717" w:rsidP="00070391">
      <w:pPr>
        <w:spacing w:after="0" w:line="240" w:lineRule="auto"/>
      </w:pPr>
      <w:r>
        <w:separator/>
      </w:r>
    </w:p>
  </w:footnote>
  <w:footnote w:type="continuationSeparator" w:id="1">
    <w:p w:rsidR="00C35717" w:rsidRDefault="00C35717" w:rsidP="000703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717" w:rsidRPr="00366106" w:rsidRDefault="00C35717" w:rsidP="003661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53702"/>
    <w:multiLevelType w:val="hybridMultilevel"/>
    <w:tmpl w:val="E9D08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40422EF"/>
    <w:multiLevelType w:val="hybridMultilevel"/>
    <w:tmpl w:val="0776BBF2"/>
    <w:lvl w:ilvl="0" w:tplc="AB42B160">
      <w:start w:val="1"/>
      <w:numFmt w:val="upperRoman"/>
      <w:lvlText w:val="%1-"/>
      <w:lvlJc w:val="left"/>
      <w:pPr>
        <w:ind w:left="720" w:hanging="360"/>
      </w:pPr>
      <w:rPr>
        <w:rFonts w:cs="Times New Roman" w:hint="default"/>
        <w:b/>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65BE09B7"/>
    <w:multiLevelType w:val="hybridMultilevel"/>
    <w:tmpl w:val="C8829BE2"/>
    <w:lvl w:ilvl="0" w:tplc="0720CAE2">
      <w:start w:val="1"/>
      <w:numFmt w:val="upperRoman"/>
      <w:lvlText w:val="%1-"/>
      <w:lvlJc w:val="left"/>
      <w:pPr>
        <w:ind w:left="1080" w:hanging="720"/>
      </w:pPr>
      <w:rPr>
        <w:rFonts w:cs="Times New Roman" w:hint="default"/>
        <w:b/>
        <w:color w:val="FF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6CA36D7E"/>
    <w:multiLevelType w:val="hybridMultilevel"/>
    <w:tmpl w:val="67F22388"/>
    <w:lvl w:ilvl="0" w:tplc="85662D40">
      <w:start w:val="1"/>
      <w:numFmt w:val="bullet"/>
      <w:lvlText w:val=""/>
      <w:lvlJc w:val="left"/>
      <w:pPr>
        <w:ind w:left="540" w:hanging="360"/>
      </w:pPr>
      <w:rPr>
        <w:rFonts w:ascii="Symbol" w:hAnsi="Symbol" w:hint="default"/>
        <w:color w:val="auto"/>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hint="default"/>
      </w:rPr>
    </w:lvl>
    <w:lvl w:ilvl="8" w:tplc="04090005">
      <w:start w:val="1"/>
      <w:numFmt w:val="bullet"/>
      <w:lvlText w:val=""/>
      <w:lvlJc w:val="left"/>
      <w:pPr>
        <w:ind w:left="6300" w:hanging="360"/>
      </w:pPr>
      <w:rPr>
        <w:rFonts w:ascii="Wingdings" w:hAnsi="Wingdings" w:hint="default"/>
      </w:rPr>
    </w:lvl>
  </w:abstractNum>
  <w:abstractNum w:abstractNumId="4">
    <w:nsid w:val="6F3E5ED5"/>
    <w:multiLevelType w:val="hybridMultilevel"/>
    <w:tmpl w:val="8FB484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0A7C"/>
    <w:rsid w:val="00070391"/>
    <w:rsid w:val="000A3446"/>
    <w:rsid w:val="00136E81"/>
    <w:rsid w:val="001A5090"/>
    <w:rsid w:val="001C218C"/>
    <w:rsid w:val="001C6855"/>
    <w:rsid w:val="00204A4E"/>
    <w:rsid w:val="00230A82"/>
    <w:rsid w:val="002405BE"/>
    <w:rsid w:val="002700EC"/>
    <w:rsid w:val="002B60D9"/>
    <w:rsid w:val="002E14C2"/>
    <w:rsid w:val="00311505"/>
    <w:rsid w:val="0032239D"/>
    <w:rsid w:val="00366106"/>
    <w:rsid w:val="003866F3"/>
    <w:rsid w:val="00462840"/>
    <w:rsid w:val="00485FBE"/>
    <w:rsid w:val="00494606"/>
    <w:rsid w:val="004B1018"/>
    <w:rsid w:val="004E23D7"/>
    <w:rsid w:val="004E301D"/>
    <w:rsid w:val="005046E6"/>
    <w:rsid w:val="00526971"/>
    <w:rsid w:val="00612945"/>
    <w:rsid w:val="006226D4"/>
    <w:rsid w:val="00693034"/>
    <w:rsid w:val="006D099C"/>
    <w:rsid w:val="007100DF"/>
    <w:rsid w:val="00752AF7"/>
    <w:rsid w:val="00780A7C"/>
    <w:rsid w:val="00790905"/>
    <w:rsid w:val="007A245B"/>
    <w:rsid w:val="007A7A59"/>
    <w:rsid w:val="00890421"/>
    <w:rsid w:val="008B17EA"/>
    <w:rsid w:val="008C59E7"/>
    <w:rsid w:val="008E425E"/>
    <w:rsid w:val="008E5F30"/>
    <w:rsid w:val="0096119B"/>
    <w:rsid w:val="009976F7"/>
    <w:rsid w:val="009E1103"/>
    <w:rsid w:val="00A00D63"/>
    <w:rsid w:val="00A632C9"/>
    <w:rsid w:val="00AC2FED"/>
    <w:rsid w:val="00B35C37"/>
    <w:rsid w:val="00B53492"/>
    <w:rsid w:val="00BC21EB"/>
    <w:rsid w:val="00BD5478"/>
    <w:rsid w:val="00BE0352"/>
    <w:rsid w:val="00BE385C"/>
    <w:rsid w:val="00C07BE3"/>
    <w:rsid w:val="00C35717"/>
    <w:rsid w:val="00C46E6D"/>
    <w:rsid w:val="00C57234"/>
    <w:rsid w:val="00D0550A"/>
    <w:rsid w:val="00D44559"/>
    <w:rsid w:val="00D83F40"/>
    <w:rsid w:val="00DD008D"/>
    <w:rsid w:val="00E23FC1"/>
    <w:rsid w:val="00E3606C"/>
    <w:rsid w:val="00E40CA3"/>
    <w:rsid w:val="00E93694"/>
    <w:rsid w:val="00EA2D80"/>
    <w:rsid w:val="00EC108D"/>
    <w:rsid w:val="00EE0675"/>
    <w:rsid w:val="00F260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A7C"/>
    <w:pPr>
      <w:spacing w:after="200" w:line="276" w:lineRule="auto"/>
    </w:pPr>
  </w:style>
  <w:style w:type="paragraph" w:styleId="Heading2">
    <w:name w:val="heading 2"/>
    <w:basedOn w:val="Normal"/>
    <w:link w:val="Heading2Char"/>
    <w:uiPriority w:val="99"/>
    <w:qFormat/>
    <w:rsid w:val="002B60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B60D9"/>
    <w:rPr>
      <w:rFonts w:ascii="Times New Roman" w:hAnsi="Times New Roman" w:cs="Times New Roman"/>
      <w:b/>
      <w:bCs/>
      <w:sz w:val="36"/>
      <w:szCs w:val="36"/>
    </w:rPr>
  </w:style>
  <w:style w:type="character" w:customStyle="1" w:styleId="apple-converted-space">
    <w:name w:val="apple-converted-space"/>
    <w:basedOn w:val="DefaultParagraphFont"/>
    <w:uiPriority w:val="99"/>
    <w:rsid w:val="00780A7C"/>
    <w:rPr>
      <w:rFonts w:cs="Times New Roman"/>
    </w:rPr>
  </w:style>
  <w:style w:type="paragraph" w:styleId="ListParagraph">
    <w:name w:val="List Paragraph"/>
    <w:basedOn w:val="Normal"/>
    <w:uiPriority w:val="99"/>
    <w:qFormat/>
    <w:rsid w:val="00780A7C"/>
    <w:pPr>
      <w:ind w:left="720"/>
    </w:pPr>
  </w:style>
  <w:style w:type="character" w:customStyle="1" w:styleId="apple-style-span">
    <w:name w:val="apple-style-span"/>
    <w:basedOn w:val="DefaultParagraphFont"/>
    <w:uiPriority w:val="99"/>
    <w:rsid w:val="00780A7C"/>
    <w:rPr>
      <w:rFonts w:cs="Times New Roman"/>
    </w:rPr>
  </w:style>
  <w:style w:type="paragraph" w:styleId="BalloonText">
    <w:name w:val="Balloon Text"/>
    <w:basedOn w:val="Normal"/>
    <w:link w:val="BalloonTextChar"/>
    <w:uiPriority w:val="99"/>
    <w:semiHidden/>
    <w:rsid w:val="00322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239D"/>
    <w:rPr>
      <w:rFonts w:ascii="Tahoma" w:hAnsi="Tahoma" w:cs="Tahoma"/>
      <w:sz w:val="16"/>
      <w:szCs w:val="16"/>
    </w:rPr>
  </w:style>
  <w:style w:type="character" w:styleId="Strong">
    <w:name w:val="Strong"/>
    <w:basedOn w:val="DefaultParagraphFont"/>
    <w:uiPriority w:val="99"/>
    <w:qFormat/>
    <w:rsid w:val="002B60D9"/>
    <w:rPr>
      <w:rFonts w:cs="Times New Roman"/>
      <w:b/>
      <w:bCs/>
    </w:rPr>
  </w:style>
  <w:style w:type="character" w:styleId="Emphasis">
    <w:name w:val="Emphasis"/>
    <w:basedOn w:val="DefaultParagraphFont"/>
    <w:uiPriority w:val="99"/>
    <w:qFormat/>
    <w:rsid w:val="002B60D9"/>
    <w:rPr>
      <w:rFonts w:cs="Times New Roman"/>
      <w:i/>
      <w:iCs/>
    </w:rPr>
  </w:style>
  <w:style w:type="paragraph" w:styleId="NormalWeb">
    <w:name w:val="Normal (Web)"/>
    <w:basedOn w:val="Normal"/>
    <w:uiPriority w:val="99"/>
    <w:rsid w:val="00485F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uiPriority w:val="99"/>
    <w:rsid w:val="00485FBE"/>
    <w:rPr>
      <w:rFonts w:cs="Times New Roman"/>
    </w:rPr>
  </w:style>
  <w:style w:type="character" w:customStyle="1" w:styleId="citation-publication-date">
    <w:name w:val="citation-publication-date"/>
    <w:basedOn w:val="DefaultParagraphFont"/>
    <w:uiPriority w:val="99"/>
    <w:rsid w:val="00485FBE"/>
    <w:rPr>
      <w:rFonts w:cs="Times New Roman"/>
    </w:rPr>
  </w:style>
  <w:style w:type="character" w:customStyle="1" w:styleId="citation-volume">
    <w:name w:val="citation-volume"/>
    <w:basedOn w:val="DefaultParagraphFont"/>
    <w:uiPriority w:val="99"/>
    <w:rsid w:val="00485FBE"/>
    <w:rPr>
      <w:rFonts w:cs="Times New Roman"/>
    </w:rPr>
  </w:style>
  <w:style w:type="character" w:customStyle="1" w:styleId="citation-flpages">
    <w:name w:val="citation-flpages"/>
    <w:basedOn w:val="DefaultParagraphFont"/>
    <w:uiPriority w:val="99"/>
    <w:rsid w:val="00485FBE"/>
    <w:rPr>
      <w:rFonts w:cs="Times New Roman"/>
    </w:rPr>
  </w:style>
  <w:style w:type="paragraph" w:styleId="Header">
    <w:name w:val="header"/>
    <w:basedOn w:val="Normal"/>
    <w:link w:val="HeaderChar"/>
    <w:uiPriority w:val="99"/>
    <w:semiHidden/>
    <w:rsid w:val="000703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70391"/>
    <w:rPr>
      <w:rFonts w:cs="Times New Roman"/>
    </w:rPr>
  </w:style>
  <w:style w:type="paragraph" w:styleId="Footer">
    <w:name w:val="footer"/>
    <w:basedOn w:val="Normal"/>
    <w:link w:val="FooterChar"/>
    <w:uiPriority w:val="99"/>
    <w:rsid w:val="0007039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703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16</Pages>
  <Words>4675</Words>
  <Characters>26654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treatment of hereditary rickets in Egyptian children</dc:title>
  <dc:subject/>
  <dc:creator>Dr.Ghada</dc:creator>
  <cp:keywords/>
  <dc:description/>
  <cp:lastModifiedBy>mdht</cp:lastModifiedBy>
  <cp:revision>2</cp:revision>
  <cp:lastPrinted>2014-03-16T06:31:00Z</cp:lastPrinted>
  <dcterms:created xsi:type="dcterms:W3CDTF">2014-03-25T08:05:00Z</dcterms:created>
  <dcterms:modified xsi:type="dcterms:W3CDTF">2014-03-25T08:05:00Z</dcterms:modified>
</cp:coreProperties>
</file>