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300" w:rsidRPr="004B3BC6" w:rsidRDefault="00104300" w:rsidP="00E5424F">
      <w:pPr>
        <w:spacing w:after="0" w:line="360" w:lineRule="auto"/>
        <w:jc w:val="center"/>
        <w:rPr>
          <w:sz w:val="36"/>
          <w:szCs w:val="36"/>
          <w:rtl/>
        </w:rPr>
      </w:pPr>
      <w:r w:rsidRPr="004B3BC6">
        <w:rPr>
          <w:rFonts w:ascii="Times New Roman" w:hAnsi="Times New Roman" w:cs="Times New Roman"/>
          <w:b/>
          <w:bCs/>
          <w:sz w:val="36"/>
          <w:szCs w:val="36"/>
        </w:rPr>
        <w:t>Use of osteocalcin and deoxypyridinoline for early detection of osteoporosis in obese children</w:t>
      </w:r>
    </w:p>
    <w:p w:rsidR="00104300" w:rsidRPr="004B3BC6" w:rsidRDefault="00104300" w:rsidP="00E5424F">
      <w:pPr>
        <w:tabs>
          <w:tab w:val="left" w:pos="4899"/>
        </w:tabs>
        <w:spacing w:after="0" w:line="360" w:lineRule="auto"/>
        <w:jc w:val="right"/>
        <w:rPr>
          <w:rFonts w:ascii="Times New Roman" w:hAnsi="Times New Roman" w:cs="Times New Roman"/>
          <w:color w:val="000000"/>
          <w:sz w:val="28"/>
          <w:szCs w:val="28"/>
          <w:rtl/>
        </w:rPr>
      </w:pPr>
      <w:r w:rsidRPr="004B3BC6">
        <w:rPr>
          <w:rFonts w:ascii="Times New Roman" w:hAnsi="Times New Roman" w:cs="Times New Roman"/>
          <w:b/>
          <w:bCs/>
          <w:color w:val="000000"/>
          <w:sz w:val="28"/>
          <w:szCs w:val="28"/>
        </w:rPr>
        <w:t>Abstract</w:t>
      </w:r>
    </w:p>
    <w:p w:rsidR="00104300" w:rsidRPr="004B3BC6" w:rsidRDefault="00104300" w:rsidP="00E5424F">
      <w:pPr>
        <w:tabs>
          <w:tab w:val="left" w:pos="4899"/>
        </w:tabs>
        <w:bidi w:val="0"/>
        <w:spacing w:after="0" w:line="360" w:lineRule="auto"/>
        <w:jc w:val="both"/>
        <w:rPr>
          <w:rFonts w:ascii="Times New Roman" w:hAnsi="Times New Roman" w:cs="Times New Roman"/>
          <w:sz w:val="24"/>
          <w:szCs w:val="24"/>
        </w:rPr>
      </w:pPr>
      <w:r w:rsidRPr="004B3BC6">
        <w:rPr>
          <w:rFonts w:ascii="Times New Roman" w:hAnsi="Times New Roman" w:cs="Times New Roman"/>
          <w:b/>
          <w:bCs/>
          <w:color w:val="000000"/>
          <w:sz w:val="28"/>
          <w:szCs w:val="28"/>
        </w:rPr>
        <w:t>Background:</w:t>
      </w:r>
      <w:r w:rsidRPr="004B3BC6">
        <w:rPr>
          <w:rFonts w:ascii="Times New Roman" w:hAnsi="Times New Roman" w:cs="Times New Roman"/>
          <w:color w:val="000000"/>
          <w:sz w:val="28"/>
          <w:szCs w:val="28"/>
        </w:rPr>
        <w:t xml:space="preserve"> </w:t>
      </w:r>
      <w:r w:rsidRPr="004B3BC6">
        <w:rPr>
          <w:rFonts w:ascii="Times New Roman" w:hAnsi="Times New Roman" w:cs="Times New Roman"/>
          <w:sz w:val="24"/>
          <w:szCs w:val="24"/>
        </w:rPr>
        <w:t>Osteoporosis in obese people is a major health problem. Awareness of osteoporosis and its complications is growing.  Early diagnosis by measurement of bone formation and turnover markers and treatment can prevent and reduce the disease complications especially fractures.</w:t>
      </w:r>
    </w:p>
    <w:p w:rsidR="00104300" w:rsidRPr="004B3BC6" w:rsidRDefault="00104300" w:rsidP="00E5424F">
      <w:pPr>
        <w:tabs>
          <w:tab w:val="left" w:pos="4899"/>
        </w:tabs>
        <w:bidi w:val="0"/>
        <w:spacing w:after="0" w:line="360" w:lineRule="auto"/>
        <w:jc w:val="both"/>
        <w:rPr>
          <w:rFonts w:ascii="Times New Roman" w:hAnsi="Times New Roman" w:cs="Times New Roman"/>
          <w:sz w:val="24"/>
          <w:szCs w:val="24"/>
        </w:rPr>
      </w:pPr>
      <w:r w:rsidRPr="004B3BC6">
        <w:rPr>
          <w:rFonts w:ascii="Times New Roman" w:hAnsi="Times New Roman" w:cs="Times New Roman"/>
          <w:b/>
          <w:bCs/>
          <w:sz w:val="28"/>
          <w:szCs w:val="28"/>
        </w:rPr>
        <w:t>Aim:</w:t>
      </w:r>
      <w:r w:rsidRPr="004B3BC6">
        <w:rPr>
          <w:rFonts w:ascii="Times New Roman" w:hAnsi="Times New Roman" w:cs="Times New Roman"/>
          <w:sz w:val="28"/>
          <w:szCs w:val="28"/>
        </w:rPr>
        <w:t xml:space="preserve"> </w:t>
      </w:r>
      <w:r w:rsidRPr="004B3BC6">
        <w:rPr>
          <w:rFonts w:ascii="Times New Roman" w:hAnsi="Times New Roman" w:cs="Times New Roman"/>
          <w:sz w:val="24"/>
          <w:szCs w:val="24"/>
        </w:rPr>
        <w:t>Early detection of osteoporosis in obese children by using bone formation and bone turnover markers.</w:t>
      </w:r>
    </w:p>
    <w:p w:rsidR="00104300" w:rsidRPr="004B3BC6" w:rsidRDefault="00104300" w:rsidP="00E5424F">
      <w:pPr>
        <w:bidi w:val="0"/>
        <w:spacing w:after="0" w:line="360" w:lineRule="auto"/>
        <w:jc w:val="both"/>
        <w:rPr>
          <w:rFonts w:ascii="Times New Roman" w:hAnsi="Times New Roman" w:cs="Times New Roman"/>
          <w:sz w:val="24"/>
          <w:szCs w:val="24"/>
        </w:rPr>
      </w:pPr>
      <w:r w:rsidRPr="004B3BC6">
        <w:rPr>
          <w:rFonts w:ascii="Times New Roman" w:hAnsi="Times New Roman" w:cs="Times New Roman"/>
          <w:b/>
          <w:bCs/>
          <w:sz w:val="28"/>
          <w:szCs w:val="28"/>
        </w:rPr>
        <w:t>Methods:</w:t>
      </w:r>
      <w:r w:rsidRPr="004B3BC6">
        <w:rPr>
          <w:rFonts w:ascii="Times New Roman" w:hAnsi="Times New Roman" w:cs="Times New Roman"/>
          <w:sz w:val="24"/>
          <w:szCs w:val="24"/>
        </w:rPr>
        <w:t xml:space="preserve"> </w:t>
      </w:r>
      <w:r w:rsidRPr="004B3BC6">
        <w:rPr>
          <w:rFonts w:ascii="Times New Roman" w:hAnsi="Times New Roman" w:cs="Times New Roman"/>
          <w:color w:val="000000"/>
          <w:sz w:val="24"/>
          <w:szCs w:val="24"/>
        </w:rPr>
        <w:t xml:space="preserve">a case-control sample of 80 pre-pubertal, Egyptian children aged 6-10 years were divided into 40 cases with simple obesity (BMI </w:t>
      </w:r>
      <w:r w:rsidRPr="004B3BC6">
        <w:rPr>
          <w:rFonts w:ascii="Times New Roman" w:hAnsi="Times New Roman" w:cs="Times New Roman"/>
          <w:b/>
          <w:bCs/>
          <w:color w:val="000000"/>
          <w:sz w:val="24"/>
          <w:szCs w:val="24"/>
        </w:rPr>
        <w:t>≥</w:t>
      </w:r>
      <w:r w:rsidRPr="004B3BC6">
        <w:rPr>
          <w:rFonts w:ascii="Times New Roman" w:hAnsi="Times New Roman" w:cs="Times New Roman"/>
          <w:color w:val="000000"/>
          <w:sz w:val="24"/>
          <w:szCs w:val="24"/>
        </w:rPr>
        <w:t xml:space="preserve"> 95</w:t>
      </w:r>
      <w:r w:rsidRPr="004B3BC6">
        <w:rPr>
          <w:rFonts w:ascii="Times New Roman" w:hAnsi="Times New Roman" w:cs="Times New Roman"/>
          <w:color w:val="000000"/>
          <w:sz w:val="24"/>
          <w:szCs w:val="24"/>
          <w:vertAlign w:val="superscript"/>
        </w:rPr>
        <w:t>th</w:t>
      </w:r>
      <w:r w:rsidRPr="004B3BC6">
        <w:rPr>
          <w:rFonts w:ascii="Times New Roman" w:hAnsi="Times New Roman" w:cs="Times New Roman"/>
          <w:color w:val="000000"/>
          <w:sz w:val="24"/>
          <w:szCs w:val="24"/>
        </w:rPr>
        <w:t xml:space="preserve"> percentile) and 40 controls (non-obese). Physical examination that included weight, height, hip circumference and waist circumference were performed. Body mass index (BMI) and waist-hip ratio were calculated.</w:t>
      </w:r>
      <w:r w:rsidRPr="004B3BC6">
        <w:rPr>
          <w:rFonts w:ascii="Times New Roman" w:hAnsi="Times New Roman" w:cs="Times New Roman"/>
          <w:sz w:val="24"/>
          <w:szCs w:val="24"/>
        </w:rPr>
        <w:t xml:space="preserve"> Blood and urine samples were collected. Serum was separated and assayed for Osteocalcin. Urine was collected, centrifuged and assayed for deoxypyridinoline. </w:t>
      </w:r>
    </w:p>
    <w:p w:rsidR="00104300" w:rsidRPr="004B3BC6" w:rsidRDefault="00104300" w:rsidP="00E5424F">
      <w:pPr>
        <w:bidi w:val="0"/>
        <w:spacing w:after="0" w:line="360" w:lineRule="auto"/>
        <w:jc w:val="both"/>
        <w:rPr>
          <w:rFonts w:ascii="Times New Roman" w:hAnsi="Times New Roman" w:cs="Times New Roman"/>
          <w:sz w:val="24"/>
          <w:szCs w:val="24"/>
        </w:rPr>
      </w:pPr>
      <w:r w:rsidRPr="004B3BC6">
        <w:rPr>
          <w:rFonts w:ascii="Times New Roman" w:hAnsi="Times New Roman" w:cs="Times New Roman"/>
          <w:b/>
          <w:bCs/>
          <w:sz w:val="28"/>
          <w:szCs w:val="28"/>
        </w:rPr>
        <w:t>Results:</w:t>
      </w:r>
      <w:r w:rsidRPr="004B3BC6">
        <w:rPr>
          <w:rFonts w:ascii="Times New Roman" w:hAnsi="Times New Roman" w:cs="Times New Roman"/>
          <w:b/>
          <w:bCs/>
          <w:sz w:val="24"/>
          <w:szCs w:val="24"/>
        </w:rPr>
        <w:t xml:space="preserve"> </w:t>
      </w:r>
      <w:r w:rsidRPr="004B3BC6">
        <w:rPr>
          <w:rFonts w:ascii="Times New Roman" w:hAnsi="Times New Roman" w:cs="Times New Roman"/>
          <w:sz w:val="24"/>
          <w:szCs w:val="24"/>
        </w:rPr>
        <w:t>Males were more than females in controls, cases and total number, where they were (32 males and 8 females) in controls, (26 males and 14 females) in cases and (58 males and 22 females) in the total number.</w:t>
      </w:r>
      <w:r w:rsidRPr="004B3BC6">
        <w:rPr>
          <w:rFonts w:ascii="Times New Roman" w:hAnsi="Times New Roman" w:cs="Times New Roman"/>
          <w:b/>
          <w:bCs/>
          <w:sz w:val="24"/>
          <w:szCs w:val="24"/>
        </w:rPr>
        <w:t xml:space="preserve"> </w:t>
      </w:r>
      <w:r w:rsidRPr="004B3BC6">
        <w:rPr>
          <w:rFonts w:ascii="Times New Roman" w:hAnsi="Times New Roman" w:cs="Times New Roman"/>
          <w:sz w:val="24"/>
          <w:szCs w:val="24"/>
        </w:rPr>
        <w:t>Family history of obesity was negative in 42.5% of controls, while it was positively related in 37.5% of cases. Statistically significant difference (p&lt;0.01) was found between obese and non-obese children as regards weight where the (Mean ±SD was 55.45±11.68) in obese and was 32.83±8.57) in non-obese group. And for the BMI, (Mean ±SD was 18.64±2.75) in obese and was (31.03±3.75) in the non-obese.</w:t>
      </w:r>
      <w:r>
        <w:rPr>
          <w:rFonts w:ascii="Times New Roman" w:hAnsi="Times New Roman" w:cs="Times New Roman"/>
          <w:sz w:val="24"/>
          <w:szCs w:val="24"/>
        </w:rPr>
        <w:t xml:space="preserve"> </w:t>
      </w:r>
      <w:r w:rsidRPr="004B3BC6">
        <w:rPr>
          <w:rFonts w:ascii="Times New Roman" w:hAnsi="Times New Roman" w:cs="Times New Roman"/>
          <w:sz w:val="24"/>
          <w:szCs w:val="24"/>
        </w:rPr>
        <w:t xml:space="preserve"> Serum Osteocalcin showed a significant decrease in obese children in comparison to the non-obese group (p&lt;0.01). While, deoxypyridinoline, there was no significant difference between obese and non-obese children. (p&gt; 0.05).</w:t>
      </w:r>
    </w:p>
    <w:p w:rsidR="00104300" w:rsidRDefault="00104300" w:rsidP="00E5424F">
      <w:pPr>
        <w:bidi w:val="0"/>
        <w:spacing w:after="0" w:line="360" w:lineRule="auto"/>
        <w:jc w:val="both"/>
        <w:rPr>
          <w:rFonts w:ascii="Times New Roman" w:hAnsi="Times New Roman" w:cs="Times New Roman"/>
          <w:sz w:val="24"/>
          <w:szCs w:val="24"/>
        </w:rPr>
      </w:pPr>
      <w:r w:rsidRPr="004B3BC6">
        <w:rPr>
          <w:rFonts w:ascii="Times New Roman" w:hAnsi="Times New Roman" w:cs="Times New Roman"/>
          <w:b/>
          <w:bCs/>
          <w:sz w:val="28"/>
          <w:szCs w:val="28"/>
        </w:rPr>
        <w:t>Conclusion:</w:t>
      </w:r>
      <w:r w:rsidRPr="004B3BC6">
        <w:rPr>
          <w:rFonts w:ascii="Times New Roman" w:hAnsi="Times New Roman" w:cs="Times New Roman"/>
          <w:sz w:val="28"/>
          <w:szCs w:val="28"/>
        </w:rPr>
        <w:t xml:space="preserve"> </w:t>
      </w:r>
      <w:r w:rsidRPr="004B3BC6">
        <w:rPr>
          <w:rFonts w:ascii="Times New Roman" w:hAnsi="Times New Roman" w:cs="Times New Roman"/>
          <w:sz w:val="24"/>
          <w:szCs w:val="24"/>
        </w:rPr>
        <w:t>Osteocalcin can be used as an early predictor of osteoporosis in obese children ,While  urinary DPD, as it did not give us any significant data  in addition to its high price, so we do not recommend its use in this early age.</w:t>
      </w:r>
      <w:r w:rsidRPr="00080E60">
        <w:rPr>
          <w:rFonts w:ascii="Times New Roman" w:hAnsi="Times New Roman" w:cs="Times New Roman"/>
          <w:sz w:val="24"/>
          <w:szCs w:val="24"/>
        </w:rPr>
        <w:t xml:space="preserve"> </w:t>
      </w:r>
    </w:p>
    <w:p w:rsidR="00104300" w:rsidRDefault="00104300" w:rsidP="00E5424F">
      <w:pPr>
        <w:bidi w:val="0"/>
        <w:spacing w:after="0" w:line="360" w:lineRule="auto"/>
        <w:jc w:val="both"/>
        <w:rPr>
          <w:rFonts w:ascii="Times New Roman" w:hAnsi="Times New Roman" w:cs="Times New Roman"/>
          <w:sz w:val="24"/>
          <w:szCs w:val="24"/>
          <w:rtl/>
        </w:rPr>
      </w:pPr>
      <w:r w:rsidRPr="00014EBD">
        <w:rPr>
          <w:rFonts w:ascii="Times New Roman" w:hAnsi="Times New Roman" w:cs="Times New Roman"/>
          <w:b/>
          <w:bCs/>
          <w:sz w:val="28"/>
          <w:szCs w:val="28"/>
        </w:rPr>
        <w:t>Key words:</w:t>
      </w:r>
      <w:r>
        <w:rPr>
          <w:rFonts w:ascii="Times New Roman" w:hAnsi="Times New Roman" w:cs="Times New Roman"/>
          <w:b/>
          <w:bCs/>
          <w:sz w:val="28"/>
          <w:szCs w:val="28"/>
        </w:rPr>
        <w:t xml:space="preserve"> </w:t>
      </w:r>
      <w:r>
        <w:rPr>
          <w:rFonts w:ascii="Times New Roman" w:hAnsi="Times New Roman" w:cs="Times New Roman"/>
          <w:sz w:val="24"/>
          <w:szCs w:val="24"/>
        </w:rPr>
        <w:t>Obesity – Osteocalcin – Deoxypyridinolone – prepubertal children</w:t>
      </w:r>
    </w:p>
    <w:p w:rsidR="00104300" w:rsidRPr="00145614" w:rsidRDefault="00104300" w:rsidP="00E5424F">
      <w:pPr>
        <w:tabs>
          <w:tab w:val="left" w:pos="4899"/>
        </w:tabs>
        <w:spacing w:after="0" w:line="360" w:lineRule="auto"/>
        <w:jc w:val="center"/>
        <w:rPr>
          <w:rFonts w:ascii="Simplified Arabic" w:hAnsi="Simplified Arabic" w:cs="Simplified Arabic"/>
          <w:sz w:val="36"/>
          <w:szCs w:val="36"/>
          <w:rtl/>
        </w:rPr>
      </w:pPr>
      <w:r w:rsidRPr="00145614">
        <w:rPr>
          <w:rFonts w:ascii="Simplified Arabic" w:hAnsi="Simplified Arabic" w:cs="Simplified Arabic" w:hint="cs"/>
          <w:b/>
          <w:bCs/>
          <w:sz w:val="36"/>
          <w:szCs w:val="36"/>
          <w:rtl/>
        </w:rPr>
        <w:t>استخدام</w:t>
      </w:r>
      <w:r w:rsidRPr="00145614">
        <w:rPr>
          <w:rFonts w:ascii="Simplified Arabic" w:hAnsi="Simplified Arabic" w:cs="Simplified Arabic"/>
          <w:b/>
          <w:bCs/>
          <w:sz w:val="36"/>
          <w:szCs w:val="36"/>
          <w:rtl/>
        </w:rPr>
        <w:t xml:space="preserve"> الاوستيوكالسين والديوءكسيبيريدينولين للكشف المبكر عن هشاشة العظام في</w:t>
      </w:r>
      <w:r w:rsidRPr="00145614">
        <w:rPr>
          <w:rFonts w:ascii="Simplified Arabic Fixed" w:hAnsi="Simplified Arabic Fixed" w:cs="Simplified Arabic Fixed"/>
          <w:sz w:val="36"/>
          <w:szCs w:val="36"/>
          <w:rtl/>
        </w:rPr>
        <w:t xml:space="preserve"> </w:t>
      </w:r>
      <w:r w:rsidRPr="00145614">
        <w:rPr>
          <w:rFonts w:ascii="Simplified Arabic" w:hAnsi="Simplified Arabic" w:cs="Simplified Arabic" w:hint="cs"/>
          <w:b/>
          <w:bCs/>
          <w:sz w:val="36"/>
          <w:szCs w:val="36"/>
          <w:rtl/>
        </w:rPr>
        <w:t>الاطفال</w:t>
      </w:r>
      <w:r w:rsidRPr="00145614">
        <w:rPr>
          <w:rFonts w:ascii="Simplified Arabic" w:hAnsi="Simplified Arabic" w:cs="Simplified Arabic"/>
          <w:b/>
          <w:bCs/>
          <w:sz w:val="36"/>
          <w:szCs w:val="36"/>
          <w:rtl/>
        </w:rPr>
        <w:t xml:space="preserve"> البدناء</w:t>
      </w:r>
    </w:p>
    <w:p w:rsidR="00104300" w:rsidRPr="00145614" w:rsidRDefault="00104300" w:rsidP="00E5424F">
      <w:pPr>
        <w:tabs>
          <w:tab w:val="left" w:pos="4899"/>
        </w:tabs>
        <w:spacing w:after="0" w:line="360" w:lineRule="auto"/>
        <w:jc w:val="center"/>
        <w:rPr>
          <w:rFonts w:ascii="Simplified Arabic" w:hAnsi="Simplified Arabic" w:cs="Simplified Arabic"/>
          <w:b/>
          <w:bCs/>
          <w:sz w:val="32"/>
          <w:szCs w:val="32"/>
          <w:rtl/>
        </w:rPr>
      </w:pPr>
      <w:r w:rsidRPr="00145614">
        <w:rPr>
          <w:rFonts w:ascii="Simplified Arabic" w:hAnsi="Simplified Arabic" w:cs="Simplified Arabic" w:hint="cs"/>
          <w:b/>
          <w:bCs/>
          <w:sz w:val="32"/>
          <w:szCs w:val="32"/>
          <w:rtl/>
        </w:rPr>
        <w:t>المستخلص</w:t>
      </w:r>
    </w:p>
    <w:p w:rsidR="00104300" w:rsidRPr="00145614" w:rsidRDefault="00104300" w:rsidP="00E5424F">
      <w:pPr>
        <w:tabs>
          <w:tab w:val="left" w:pos="4899"/>
        </w:tabs>
        <w:spacing w:after="0" w:line="360" w:lineRule="auto"/>
        <w:jc w:val="both"/>
        <w:rPr>
          <w:rFonts w:ascii="Simplified Arabic" w:hAnsi="Simplified Arabic" w:cs="Simplified Arabic"/>
          <w:sz w:val="28"/>
          <w:szCs w:val="28"/>
          <w:rtl/>
        </w:rPr>
      </w:pPr>
      <w:r w:rsidRPr="00145614">
        <w:rPr>
          <w:rFonts w:ascii="Simplified Arabic" w:hAnsi="Simplified Arabic" w:cs="Simplified Arabic" w:hint="cs"/>
          <w:b/>
          <w:bCs/>
          <w:sz w:val="32"/>
          <w:szCs w:val="32"/>
          <w:rtl/>
        </w:rPr>
        <w:t>مقدمة</w:t>
      </w:r>
      <w:r w:rsidRPr="00145614">
        <w:rPr>
          <w:rFonts w:ascii="Simplified Arabic" w:hAnsi="Simplified Arabic" w:cs="Simplified Arabic"/>
          <w:b/>
          <w:bCs/>
          <w:sz w:val="32"/>
          <w:szCs w:val="32"/>
          <w:rtl/>
        </w:rPr>
        <w:t>:</w:t>
      </w:r>
      <w:r w:rsidRPr="00145614">
        <w:rPr>
          <w:rFonts w:ascii="Simplified Arabic" w:hAnsi="Simplified Arabic" w:cs="Simplified Arabic"/>
          <w:sz w:val="28"/>
          <w:szCs w:val="28"/>
          <w:rtl/>
        </w:rPr>
        <w:t xml:space="preserve"> تعد هشاشة العظام في الاشخاص البدناء م</w:t>
      </w:r>
      <w:r w:rsidRPr="00145614">
        <w:rPr>
          <w:rFonts w:ascii="Simplified Arabic" w:hAnsi="Simplified Arabic" w:cs="Simplified Arabic" w:hint="cs"/>
          <w:sz w:val="28"/>
          <w:szCs w:val="28"/>
          <w:rtl/>
        </w:rPr>
        <w:t>شكلة</w:t>
      </w:r>
      <w:r w:rsidRPr="00145614">
        <w:rPr>
          <w:rFonts w:ascii="Simplified Arabic" w:hAnsi="Simplified Arabic" w:cs="Simplified Arabic"/>
          <w:sz w:val="28"/>
          <w:szCs w:val="28"/>
          <w:rtl/>
        </w:rPr>
        <w:t xml:space="preserve"> صحية خطيرة. </w:t>
      </w:r>
      <w:r w:rsidRPr="00145614">
        <w:rPr>
          <w:rFonts w:ascii="Simplified Arabic" w:hAnsi="Simplified Arabic" w:cs="Simplified Arabic" w:hint="cs"/>
          <w:sz w:val="28"/>
          <w:szCs w:val="28"/>
          <w:rtl/>
        </w:rPr>
        <w:t>ويتنامي</w:t>
      </w:r>
      <w:r w:rsidRPr="00145614">
        <w:rPr>
          <w:rFonts w:ascii="Simplified Arabic" w:hAnsi="Simplified Arabic" w:cs="Simplified Arabic"/>
          <w:sz w:val="28"/>
          <w:szCs w:val="28"/>
          <w:rtl/>
        </w:rPr>
        <w:t xml:space="preserve"> الوعي بهشاشة العظام وعواقبها مما يجعل ال</w:t>
      </w:r>
      <w:r w:rsidRPr="00145614">
        <w:rPr>
          <w:rFonts w:ascii="Simplified Arabic" w:hAnsi="Simplified Arabic" w:cs="Simplified Arabic" w:hint="cs"/>
          <w:sz w:val="28"/>
          <w:szCs w:val="28"/>
          <w:rtl/>
        </w:rPr>
        <w:t>اكتشاف</w:t>
      </w:r>
      <w:r w:rsidRPr="00145614">
        <w:rPr>
          <w:rFonts w:ascii="Simplified Arabic" w:hAnsi="Simplified Arabic" w:cs="Simplified Arabic"/>
          <w:sz w:val="28"/>
          <w:szCs w:val="28"/>
          <w:rtl/>
        </w:rPr>
        <w:t xml:space="preserve"> المبكر بقياس دلالات الهدم والبناء في العظام مع العلاج وسيلة هامة لمنع وتقليل حدوث عواقب المرض وخاصة الكسور.</w:t>
      </w:r>
    </w:p>
    <w:p w:rsidR="00104300" w:rsidRPr="00145614" w:rsidRDefault="00104300" w:rsidP="00E5424F">
      <w:pPr>
        <w:tabs>
          <w:tab w:val="left" w:pos="4899"/>
        </w:tabs>
        <w:spacing w:after="0" w:line="360" w:lineRule="auto"/>
        <w:jc w:val="both"/>
        <w:rPr>
          <w:rFonts w:ascii="Simplified Arabic" w:hAnsi="Simplified Arabic" w:cs="Simplified Arabic"/>
          <w:sz w:val="28"/>
          <w:szCs w:val="28"/>
          <w:rtl/>
        </w:rPr>
      </w:pPr>
      <w:r w:rsidRPr="00145614">
        <w:rPr>
          <w:rFonts w:ascii="Simplified Arabic" w:hAnsi="Simplified Arabic" w:cs="Simplified Arabic" w:hint="cs"/>
          <w:b/>
          <w:bCs/>
          <w:sz w:val="32"/>
          <w:szCs w:val="32"/>
          <w:rtl/>
        </w:rPr>
        <w:t>الهدف</w:t>
      </w:r>
      <w:r w:rsidRPr="00145614">
        <w:rPr>
          <w:rFonts w:ascii="Simplified Arabic" w:hAnsi="Simplified Arabic" w:cs="Simplified Arabic"/>
          <w:b/>
          <w:bCs/>
          <w:sz w:val="32"/>
          <w:szCs w:val="32"/>
          <w:rtl/>
        </w:rPr>
        <w:t xml:space="preserve"> من الدراسة</w:t>
      </w:r>
      <w:r w:rsidRPr="00145614">
        <w:rPr>
          <w:rFonts w:ascii="Simplified Arabic" w:hAnsi="Simplified Arabic" w:cs="Simplified Arabic"/>
          <w:sz w:val="28"/>
          <w:szCs w:val="28"/>
          <w:rtl/>
        </w:rPr>
        <w:t>:الاكتشاف المبكر لهشاشة العظام في الاطفال البدناء باستخدام دلالات الهدم والبناء في العظام.</w:t>
      </w:r>
    </w:p>
    <w:p w:rsidR="00104300" w:rsidRPr="00145614" w:rsidRDefault="00104300" w:rsidP="00E5424F">
      <w:pPr>
        <w:tabs>
          <w:tab w:val="left" w:pos="4899"/>
        </w:tabs>
        <w:spacing w:after="0" w:line="360" w:lineRule="auto"/>
        <w:jc w:val="both"/>
        <w:rPr>
          <w:rFonts w:ascii="Simplified Arabic" w:hAnsi="Simplified Arabic" w:cs="Simplified Arabic"/>
          <w:sz w:val="28"/>
          <w:szCs w:val="28"/>
          <w:rtl/>
        </w:rPr>
      </w:pPr>
      <w:r w:rsidRPr="00145614">
        <w:rPr>
          <w:rFonts w:ascii="Simplified Arabic" w:hAnsi="Simplified Arabic" w:cs="Simplified Arabic" w:hint="cs"/>
          <w:b/>
          <w:bCs/>
          <w:sz w:val="32"/>
          <w:szCs w:val="32"/>
          <w:rtl/>
        </w:rPr>
        <w:t>طرق</w:t>
      </w:r>
      <w:r w:rsidRPr="00145614">
        <w:rPr>
          <w:rFonts w:ascii="Simplified Arabic" w:hAnsi="Simplified Arabic" w:cs="Simplified Arabic"/>
          <w:b/>
          <w:bCs/>
          <w:sz w:val="32"/>
          <w:szCs w:val="32"/>
          <w:rtl/>
        </w:rPr>
        <w:t xml:space="preserve"> اجراء البحث</w:t>
      </w:r>
      <w:r w:rsidRPr="00145614">
        <w:rPr>
          <w:rFonts w:ascii="Simplified Arabic" w:hAnsi="Simplified Arabic" w:cs="Simplified Arabic"/>
          <w:sz w:val="28"/>
          <w:szCs w:val="28"/>
          <w:rtl/>
        </w:rPr>
        <w:t xml:space="preserve">: باستخدام دراسة عينة وعينة ضابطة علي 80 طفل مصري في مرحلة ما قبل البلوغ من سن 6-10 سنوات تم تقسيمهم الي 40 </w:t>
      </w:r>
      <w:r w:rsidRPr="00145614">
        <w:rPr>
          <w:rFonts w:ascii="Simplified Arabic" w:hAnsi="Simplified Arabic" w:cs="Simplified Arabic" w:hint="cs"/>
          <w:sz w:val="28"/>
          <w:szCs w:val="28"/>
          <w:rtl/>
        </w:rPr>
        <w:t>حالة</w:t>
      </w:r>
      <w:r w:rsidRPr="00145614">
        <w:rPr>
          <w:rFonts w:ascii="Simplified Arabic" w:hAnsi="Simplified Arabic" w:cs="Simplified Arabic"/>
          <w:sz w:val="28"/>
          <w:szCs w:val="28"/>
          <w:rtl/>
        </w:rPr>
        <w:t xml:space="preserve"> يعانون من السمنة و40 طفل </w:t>
      </w:r>
      <w:r w:rsidRPr="00145614">
        <w:rPr>
          <w:rFonts w:ascii="Simplified Arabic" w:hAnsi="Simplified Arabic" w:cs="Simplified Arabic" w:hint="cs"/>
          <w:sz w:val="28"/>
          <w:szCs w:val="28"/>
          <w:rtl/>
        </w:rPr>
        <w:t>ﺫوي</w:t>
      </w:r>
      <w:r w:rsidRPr="00145614">
        <w:rPr>
          <w:rFonts w:ascii="Simplified Arabic" w:hAnsi="Simplified Arabic" w:cs="Simplified Arabic"/>
          <w:sz w:val="28"/>
          <w:szCs w:val="28"/>
          <w:rtl/>
        </w:rPr>
        <w:t xml:space="preserve"> وزن طبيعي خضع جميع الاطفال في الدراسة الي تاريخ مرضي وشخصي وعائلي وفحص اكلينيكي شامل وقياسات انثروبومترية ونمو مثل الوزن والطول ومحيط الوسط والارداف ومن ثم تم حساب معدل الكتلة والنسبة بين محيط الوسط والارداف.</w:t>
      </w:r>
      <w:r>
        <w:rPr>
          <w:rFonts w:ascii="Simplified Arabic" w:hAnsi="Simplified Arabic" w:cs="Simplified Arabic"/>
          <w:sz w:val="28"/>
          <w:szCs w:val="28"/>
          <w:rtl/>
        </w:rPr>
        <w:t xml:space="preserve"> </w:t>
      </w:r>
      <w:r w:rsidRPr="00145614">
        <w:rPr>
          <w:rFonts w:ascii="Simplified Arabic" w:hAnsi="Simplified Arabic" w:cs="Simplified Arabic" w:hint="cs"/>
          <w:sz w:val="28"/>
          <w:szCs w:val="28"/>
          <w:rtl/>
        </w:rPr>
        <w:t>ثم</w:t>
      </w:r>
      <w:r w:rsidRPr="00145614">
        <w:rPr>
          <w:rFonts w:ascii="Simplified Arabic" w:hAnsi="Simplified Arabic" w:cs="Simplified Arabic"/>
          <w:sz w:val="28"/>
          <w:szCs w:val="28"/>
          <w:rtl/>
        </w:rPr>
        <w:t xml:space="preserve"> تم ا</w:t>
      </w:r>
      <w:r w:rsidRPr="00145614">
        <w:rPr>
          <w:rFonts w:ascii="Simplified Arabic" w:hAnsi="Simplified Arabic" w:cs="Simplified Arabic" w:hint="cs"/>
          <w:sz w:val="28"/>
          <w:szCs w:val="28"/>
          <w:rtl/>
        </w:rPr>
        <w:t>ﺨﺫ</w:t>
      </w:r>
      <w:r w:rsidRPr="00145614">
        <w:rPr>
          <w:rFonts w:ascii="Simplified Arabic" w:hAnsi="Simplified Arabic" w:cs="Simplified Arabic"/>
          <w:sz w:val="28"/>
          <w:szCs w:val="28"/>
          <w:rtl/>
        </w:rPr>
        <w:t xml:space="preserve"> </w:t>
      </w:r>
      <w:r w:rsidRPr="00145614">
        <w:rPr>
          <w:rFonts w:ascii="Simplified Arabic" w:hAnsi="Simplified Arabic" w:cs="Simplified Arabic" w:hint="cs"/>
          <w:sz w:val="28"/>
          <w:szCs w:val="28"/>
          <w:rtl/>
        </w:rPr>
        <w:t>عينة</w:t>
      </w:r>
      <w:r w:rsidRPr="00145614">
        <w:rPr>
          <w:rFonts w:ascii="Simplified Arabic" w:hAnsi="Simplified Arabic" w:cs="Simplified Arabic"/>
          <w:sz w:val="28"/>
          <w:szCs w:val="28"/>
          <w:rtl/>
        </w:rPr>
        <w:t xml:space="preserve"> بول وعينة دم حيث تم فصل البلازما وقياس نسبة الاوستيوكالسين كما تم قياس محتوي البول من الديؤكسيبيريد</w:t>
      </w:r>
      <w:r w:rsidRPr="00145614">
        <w:rPr>
          <w:rFonts w:ascii="Simplified Arabic" w:hAnsi="Simplified Arabic" w:cs="Simplified Arabic" w:hint="cs"/>
          <w:sz w:val="28"/>
          <w:szCs w:val="28"/>
          <w:rtl/>
        </w:rPr>
        <w:t>ينولين</w:t>
      </w:r>
      <w:r w:rsidRPr="00145614">
        <w:rPr>
          <w:rFonts w:ascii="Simplified Arabic" w:hAnsi="Simplified Arabic" w:cs="Simplified Arabic"/>
          <w:sz w:val="28"/>
          <w:szCs w:val="28"/>
          <w:rtl/>
        </w:rPr>
        <w:t>.</w:t>
      </w:r>
    </w:p>
    <w:p w:rsidR="00104300" w:rsidRDefault="00104300" w:rsidP="00220633">
      <w:pPr>
        <w:spacing w:after="0" w:line="360" w:lineRule="auto"/>
        <w:jc w:val="center"/>
        <w:rPr>
          <w:rFonts w:ascii="Simplified Arabic" w:hAnsi="Simplified Arabic" w:cs="Simplified Arabic"/>
          <w:sz w:val="28"/>
          <w:szCs w:val="28"/>
          <w:rtl/>
        </w:rPr>
      </w:pPr>
      <w:r w:rsidRPr="00145614">
        <w:rPr>
          <w:rFonts w:ascii="Simplified Arabic" w:hAnsi="Simplified Arabic" w:cs="Simplified Arabic" w:hint="cs"/>
          <w:b/>
          <w:bCs/>
          <w:sz w:val="32"/>
          <w:szCs w:val="32"/>
          <w:rtl/>
        </w:rPr>
        <w:t>النتائج</w:t>
      </w:r>
      <w:r w:rsidRPr="00145614">
        <w:rPr>
          <w:rFonts w:ascii="Simplified Arabic" w:hAnsi="Simplified Arabic" w:cs="Simplified Arabic"/>
          <w:sz w:val="32"/>
          <w:szCs w:val="32"/>
          <w:rtl/>
        </w:rPr>
        <w:t>:</w:t>
      </w:r>
      <w:r w:rsidRPr="00145614">
        <w:rPr>
          <w:rFonts w:ascii="Simplified Arabic" w:hAnsi="Simplified Arabic" w:cs="Simplified Arabic"/>
          <w:sz w:val="28"/>
          <w:szCs w:val="28"/>
          <w:rtl/>
        </w:rPr>
        <w:t xml:space="preserve"> اظهرت الدراسة ان الاطفال ا</w:t>
      </w:r>
      <w:r w:rsidRPr="00145614">
        <w:rPr>
          <w:rFonts w:ascii="Simplified Arabic" w:hAnsi="Simplified Arabic" w:cs="Simplified Arabic" w:hint="cs"/>
          <w:sz w:val="28"/>
          <w:szCs w:val="28"/>
          <w:rtl/>
        </w:rPr>
        <w:t>ﻠﺫكور</w:t>
      </w:r>
      <w:r w:rsidRPr="00145614">
        <w:rPr>
          <w:rFonts w:ascii="Simplified Arabic" w:hAnsi="Simplified Arabic" w:cs="Simplified Arabic"/>
          <w:sz w:val="28"/>
          <w:szCs w:val="28"/>
          <w:rtl/>
        </w:rPr>
        <w:t xml:space="preserve"> كانوا اكثر من الاناث في العينة والعينة الضابطة والعدد الكلي وان 37</w:t>
      </w:r>
      <w:r>
        <w:rPr>
          <w:rFonts w:ascii="Simplified Arabic" w:hAnsi="Simplified Arabic" w:cs="Simplified Arabic"/>
          <w:sz w:val="28"/>
          <w:szCs w:val="28"/>
          <w:rtl/>
        </w:rPr>
        <w:t>.</w:t>
      </w:r>
      <w:r w:rsidRPr="00145614">
        <w:rPr>
          <w:rFonts w:ascii="Simplified Arabic" w:hAnsi="Simplified Arabic" w:cs="Simplified Arabic"/>
          <w:sz w:val="28"/>
          <w:szCs w:val="28"/>
          <w:rtl/>
        </w:rPr>
        <w:t>5% من الاطفال البدناء لديهم تاريخ عائلي للإصابة بالسمنة كما اظهرت الدراسة ان هناك فرق احصائي واضح بين الاطفال ال</w:t>
      </w:r>
      <w:r w:rsidRPr="00145614">
        <w:rPr>
          <w:rFonts w:ascii="Simplified Arabic" w:hAnsi="Simplified Arabic" w:cs="Simplified Arabic" w:hint="cs"/>
          <w:sz w:val="28"/>
          <w:szCs w:val="28"/>
          <w:rtl/>
        </w:rPr>
        <w:t>بدناء</w:t>
      </w:r>
      <w:r w:rsidRPr="00145614">
        <w:rPr>
          <w:rFonts w:ascii="Simplified Arabic" w:hAnsi="Simplified Arabic" w:cs="Simplified Arabic"/>
          <w:sz w:val="28"/>
          <w:szCs w:val="28"/>
          <w:rtl/>
        </w:rPr>
        <w:t xml:space="preserve"> والاطفال </w:t>
      </w:r>
      <w:r w:rsidRPr="00145614">
        <w:rPr>
          <w:rFonts w:ascii="Simplified Arabic" w:hAnsi="Simplified Arabic" w:cs="Simplified Arabic" w:hint="cs"/>
          <w:sz w:val="28"/>
          <w:szCs w:val="28"/>
          <w:rtl/>
        </w:rPr>
        <w:t>ﺫوي</w:t>
      </w:r>
      <w:r w:rsidRPr="00145614">
        <w:rPr>
          <w:rFonts w:ascii="Simplified Arabic" w:hAnsi="Simplified Arabic" w:cs="Simplified Arabic"/>
          <w:sz w:val="28"/>
          <w:szCs w:val="28"/>
          <w:rtl/>
        </w:rPr>
        <w:t xml:space="preserve"> الوزن الطبيعي في كل القياسات الانثروبومترية ما عدا الطول.</w:t>
      </w:r>
      <w:r>
        <w:rPr>
          <w:rFonts w:ascii="Simplified Arabic" w:hAnsi="Simplified Arabic" w:cs="Simplified Arabic"/>
          <w:sz w:val="28"/>
          <w:szCs w:val="28"/>
          <w:rtl/>
        </w:rPr>
        <w:t xml:space="preserve"> </w:t>
      </w:r>
      <w:r w:rsidRPr="00145614">
        <w:rPr>
          <w:rFonts w:ascii="Simplified Arabic" w:hAnsi="Simplified Arabic" w:cs="Simplified Arabic" w:hint="cs"/>
          <w:sz w:val="28"/>
          <w:szCs w:val="28"/>
          <w:rtl/>
        </w:rPr>
        <w:t>واوضحت</w:t>
      </w:r>
      <w:r w:rsidRPr="00145614">
        <w:rPr>
          <w:rFonts w:ascii="Simplified Arabic" w:hAnsi="Simplified Arabic" w:cs="Simplified Arabic"/>
          <w:sz w:val="28"/>
          <w:szCs w:val="28"/>
          <w:rtl/>
        </w:rPr>
        <w:t xml:space="preserve"> الدراسة انه وجد نقص واضح في نسبة</w:t>
      </w:r>
      <w:r>
        <w:rPr>
          <w:rFonts w:ascii="Times New Roman" w:hAnsi="Times New Roman" w:cs="Simplified Arabic"/>
          <w:sz w:val="28"/>
          <w:szCs w:val="28"/>
          <w:rtl/>
          <w:lang w:bidi="ar-EG"/>
        </w:rPr>
        <w:t xml:space="preserve"> </w:t>
      </w:r>
      <w:r>
        <w:rPr>
          <w:rFonts w:ascii="Simplified Arabic" w:hAnsi="Simplified Arabic" w:cs="Simplified Arabic" w:hint="cs"/>
          <w:sz w:val="28"/>
          <w:szCs w:val="28"/>
          <w:rtl/>
        </w:rPr>
        <w:t>الاوستيوكالسين</w:t>
      </w:r>
      <w:r>
        <w:rPr>
          <w:rFonts w:ascii="Simplified Arabic" w:hAnsi="Simplified Arabic" w:cs="Simplified Arabic"/>
          <w:sz w:val="28"/>
          <w:szCs w:val="28"/>
          <w:rtl/>
        </w:rPr>
        <w:t xml:space="preserve"> في الاطفال البدناء بالمقارنة بالاطفال </w:t>
      </w:r>
      <w:r>
        <w:rPr>
          <w:rFonts w:ascii="Simplified Arabic" w:hAnsi="Simplified Arabic" w:cs="Simplified Arabic" w:hint="cs"/>
          <w:sz w:val="28"/>
          <w:szCs w:val="28"/>
          <w:rtl/>
        </w:rPr>
        <w:t>ﺫوي</w:t>
      </w:r>
      <w:r>
        <w:rPr>
          <w:rFonts w:ascii="Simplified Arabic" w:hAnsi="Simplified Arabic" w:cs="Simplified Arabic"/>
          <w:sz w:val="28"/>
          <w:szCs w:val="28"/>
          <w:rtl/>
        </w:rPr>
        <w:t xml:space="preserve"> الوزن الطبيعي بينما لم يظهر الديؤكسيبيريدينولين اي نتائج </w:t>
      </w:r>
      <w:r>
        <w:rPr>
          <w:rFonts w:ascii="Simplified Arabic" w:hAnsi="Simplified Arabic" w:cs="Simplified Arabic" w:hint="cs"/>
          <w:sz w:val="28"/>
          <w:szCs w:val="28"/>
          <w:rtl/>
        </w:rPr>
        <w:t>ﺫات</w:t>
      </w:r>
      <w:r>
        <w:rPr>
          <w:rFonts w:ascii="Simplified Arabic" w:hAnsi="Simplified Arabic" w:cs="Simplified Arabic"/>
          <w:sz w:val="28"/>
          <w:szCs w:val="28"/>
          <w:rtl/>
        </w:rPr>
        <w:t xml:space="preserve"> دلالة سواء بين الاطفال البدناء او </w:t>
      </w:r>
      <w:r>
        <w:rPr>
          <w:rFonts w:ascii="Simplified Arabic" w:hAnsi="Simplified Arabic" w:cs="Simplified Arabic" w:hint="cs"/>
          <w:sz w:val="28"/>
          <w:szCs w:val="28"/>
          <w:rtl/>
        </w:rPr>
        <w:t>ﺫوي</w:t>
      </w:r>
      <w:r>
        <w:rPr>
          <w:rFonts w:ascii="Simplified Arabic" w:hAnsi="Simplified Arabic" w:cs="Simplified Arabic"/>
          <w:sz w:val="28"/>
          <w:szCs w:val="28"/>
          <w:rtl/>
        </w:rPr>
        <w:t xml:space="preserve"> الوزن الطبيعي.</w:t>
      </w:r>
    </w:p>
    <w:p w:rsidR="00104300" w:rsidRPr="00E328F5" w:rsidRDefault="00104300" w:rsidP="005C473F">
      <w:pPr>
        <w:bidi w:val="0"/>
        <w:spacing w:after="0" w:line="360" w:lineRule="auto"/>
        <w:jc w:val="both"/>
        <w:rPr>
          <w:rFonts w:ascii="Times New Roman" w:hAnsi="Times New Roman" w:cs="Times New Roman"/>
          <w:b/>
          <w:bCs/>
          <w:sz w:val="32"/>
          <w:szCs w:val="32"/>
        </w:rPr>
      </w:pPr>
      <w:r w:rsidRPr="00E328F5">
        <w:rPr>
          <w:rFonts w:ascii="Times New Roman" w:hAnsi="Times New Roman" w:cs="Times New Roman"/>
          <w:b/>
          <w:bCs/>
          <w:sz w:val="32"/>
          <w:szCs w:val="32"/>
        </w:rPr>
        <w:t>Introduction</w:t>
      </w:r>
    </w:p>
    <w:p w:rsidR="00104300" w:rsidRPr="00977ECD" w:rsidRDefault="00104300" w:rsidP="005C473F">
      <w:pPr>
        <w:bidi w:val="0"/>
        <w:spacing w:after="0" w:line="360" w:lineRule="auto"/>
        <w:jc w:val="both"/>
        <w:rPr>
          <w:rFonts w:ascii="Times New Roman" w:hAnsi="Times New Roman" w:cs="Times New Roman"/>
          <w:b/>
          <w:bCs/>
          <w:sz w:val="28"/>
          <w:szCs w:val="28"/>
        </w:rPr>
      </w:pPr>
      <w:r w:rsidRPr="00977ECD">
        <w:rPr>
          <w:rFonts w:ascii="Times New Roman" w:hAnsi="Times New Roman" w:cs="Times New Roman"/>
          <w:sz w:val="28"/>
          <w:szCs w:val="28"/>
        </w:rPr>
        <w:t xml:space="preserve">     Osteoporosis is a major health problem.it is a disease of progressive bone loss associated with increased risk of fractures. The disease often develops unnoticed over many years, with mild symptoms and signs, until fractures occur </w:t>
      </w:r>
      <w:r w:rsidRPr="00977ECD">
        <w:rPr>
          <w:rFonts w:ascii="Times New Roman" w:hAnsi="Times New Roman" w:cs="Times New Roman"/>
          <w:b/>
          <w:bCs/>
          <w:sz w:val="28"/>
          <w:szCs w:val="28"/>
        </w:rPr>
        <w:t>(Scott et al</w:t>
      </w:r>
      <w:r>
        <w:rPr>
          <w:rFonts w:ascii="Times New Roman" w:hAnsi="Times New Roman" w:cs="Times New Roman"/>
          <w:b/>
          <w:bCs/>
          <w:sz w:val="28"/>
          <w:szCs w:val="28"/>
        </w:rPr>
        <w:t>.</w:t>
      </w:r>
      <w:r w:rsidRPr="00977ECD">
        <w:rPr>
          <w:rFonts w:ascii="Times New Roman" w:hAnsi="Times New Roman" w:cs="Times New Roman"/>
          <w:b/>
          <w:bCs/>
          <w:sz w:val="28"/>
          <w:szCs w:val="28"/>
        </w:rPr>
        <w:t>, 2010).</w:t>
      </w:r>
    </w:p>
    <w:p w:rsidR="00104300" w:rsidRPr="00977ECD" w:rsidRDefault="00104300" w:rsidP="005C473F">
      <w:pPr>
        <w:bidi w:val="0"/>
        <w:spacing w:after="0" w:line="360" w:lineRule="auto"/>
        <w:jc w:val="both"/>
        <w:rPr>
          <w:rFonts w:ascii="Times New Roman" w:hAnsi="Times New Roman" w:cs="Times New Roman"/>
          <w:color w:val="000000"/>
          <w:sz w:val="28"/>
          <w:szCs w:val="28"/>
        </w:rPr>
      </w:pPr>
      <w:r w:rsidRPr="00977ECD">
        <w:rPr>
          <w:rFonts w:ascii="Times New Roman" w:hAnsi="Times New Roman" w:cs="Times New Roman"/>
          <w:sz w:val="28"/>
          <w:szCs w:val="28"/>
        </w:rPr>
        <w:t xml:space="preserve">Osteoporosis develops as a result of imbalance between bone resorption and bone formation </w:t>
      </w:r>
      <w:r w:rsidRPr="00977ECD">
        <w:rPr>
          <w:rFonts w:ascii="Times New Roman" w:hAnsi="Times New Roman" w:cs="Times New Roman"/>
          <w:b/>
          <w:bCs/>
          <w:sz w:val="28"/>
          <w:szCs w:val="28"/>
        </w:rPr>
        <w:t>(Naim &amp;</w:t>
      </w:r>
      <w:r>
        <w:rPr>
          <w:rFonts w:ascii="Times New Roman" w:hAnsi="Times New Roman" w:cs="Times New Roman"/>
          <w:b/>
          <w:bCs/>
          <w:sz w:val="28"/>
          <w:szCs w:val="28"/>
        </w:rPr>
        <w:t xml:space="preserve"> K</w:t>
      </w:r>
      <w:r w:rsidRPr="00977ECD">
        <w:rPr>
          <w:rFonts w:ascii="Times New Roman" w:hAnsi="Times New Roman" w:cs="Times New Roman"/>
          <w:b/>
          <w:bCs/>
          <w:sz w:val="28"/>
          <w:szCs w:val="28"/>
        </w:rPr>
        <w:t>hashayar, 2006).</w:t>
      </w:r>
      <w:r w:rsidRPr="00977ECD">
        <w:rPr>
          <w:rFonts w:ascii="Times New Roman" w:hAnsi="Times New Roman" w:cs="Times New Roman"/>
          <w:color w:val="000000"/>
          <w:sz w:val="28"/>
          <w:szCs w:val="28"/>
        </w:rPr>
        <w:t xml:space="preserve"> </w:t>
      </w:r>
    </w:p>
    <w:p w:rsidR="00104300" w:rsidRPr="00977ECD" w:rsidRDefault="00104300" w:rsidP="005C473F">
      <w:pPr>
        <w:bidi w:val="0"/>
        <w:spacing w:after="0" w:line="360" w:lineRule="auto"/>
        <w:jc w:val="both"/>
        <w:rPr>
          <w:rFonts w:ascii="Times New Roman" w:hAnsi="Times New Roman" w:cs="Times New Roman"/>
          <w:b/>
          <w:bCs/>
          <w:sz w:val="28"/>
          <w:szCs w:val="28"/>
          <w:rtl/>
        </w:rPr>
      </w:pPr>
      <w:r w:rsidRPr="00977ECD">
        <w:rPr>
          <w:rFonts w:ascii="Times New Roman" w:hAnsi="Times New Roman" w:cs="Times New Roman"/>
          <w:color w:val="000000"/>
          <w:sz w:val="28"/>
          <w:szCs w:val="28"/>
        </w:rPr>
        <w:t xml:space="preserve">     Osteoporosis is a major global public health concern. Although it is considered as a disease of the elderly, there is now universal agreement that osteoporosis has pediatric origin because if individuals fail to achieve optimal peak bone mass (PBM) and strength in childhood and adolescence, there is a likelihood of development osteoporosis later life </w:t>
      </w:r>
      <w:r w:rsidRPr="00977ECD">
        <w:rPr>
          <w:rFonts w:ascii="Times New Roman" w:hAnsi="Times New Roman" w:cs="Times New Roman"/>
          <w:b/>
          <w:bCs/>
          <w:color w:val="000000"/>
          <w:sz w:val="28"/>
          <w:szCs w:val="28"/>
        </w:rPr>
        <w:t>(Sub Lim, 2010).</w:t>
      </w:r>
    </w:p>
    <w:p w:rsidR="00104300" w:rsidRPr="00977ECD" w:rsidRDefault="00104300" w:rsidP="005C473F">
      <w:pPr>
        <w:bidi w:val="0"/>
        <w:spacing w:after="0" w:line="360" w:lineRule="auto"/>
        <w:jc w:val="both"/>
        <w:rPr>
          <w:rFonts w:ascii="Times New Roman" w:hAnsi="Times New Roman" w:cs="Times New Roman"/>
          <w:b/>
          <w:bCs/>
          <w:sz w:val="28"/>
          <w:szCs w:val="28"/>
        </w:rPr>
      </w:pPr>
      <w:r w:rsidRPr="00977ECD">
        <w:rPr>
          <w:rFonts w:ascii="Times New Roman" w:hAnsi="Times New Roman" w:cs="Times New Roman"/>
          <w:sz w:val="28"/>
          <w:szCs w:val="28"/>
        </w:rPr>
        <w:t xml:space="preserve">   Awareness of osteoporosis and its complications is growing, as the use of treatments that favorably alter the natural history of the disorder. So, there is increasing reasons to develop strategies for screening in order to target treatment more effectively and reduce the number of fractures </w:t>
      </w:r>
      <w:r w:rsidRPr="00977ECD">
        <w:rPr>
          <w:rFonts w:ascii="Times New Roman" w:hAnsi="Times New Roman" w:cs="Times New Roman"/>
          <w:b/>
          <w:bCs/>
          <w:sz w:val="28"/>
          <w:szCs w:val="28"/>
        </w:rPr>
        <w:t>(Scott et al</w:t>
      </w:r>
      <w:r>
        <w:rPr>
          <w:rFonts w:ascii="Times New Roman" w:hAnsi="Times New Roman" w:cs="Times New Roman"/>
          <w:b/>
          <w:bCs/>
          <w:sz w:val="28"/>
          <w:szCs w:val="28"/>
        </w:rPr>
        <w:t>.</w:t>
      </w:r>
      <w:r w:rsidRPr="00977ECD">
        <w:rPr>
          <w:rFonts w:ascii="Times New Roman" w:hAnsi="Times New Roman" w:cs="Times New Roman"/>
          <w:b/>
          <w:bCs/>
          <w:sz w:val="28"/>
          <w:szCs w:val="28"/>
        </w:rPr>
        <w:t>, 2010).</w:t>
      </w:r>
    </w:p>
    <w:p w:rsidR="00104300" w:rsidRPr="00977ECD" w:rsidRDefault="00104300" w:rsidP="005C4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textAlignment w:val="baseline"/>
        <w:rPr>
          <w:rFonts w:ascii="Times New Roman" w:hAnsi="Times New Roman" w:cs="Times New Roman"/>
          <w:color w:val="000000"/>
          <w:sz w:val="28"/>
          <w:szCs w:val="28"/>
          <w:rtl/>
        </w:rPr>
      </w:pPr>
      <w:r w:rsidRPr="00977ECD">
        <w:rPr>
          <w:rFonts w:ascii="Times New Roman" w:hAnsi="Times New Roman" w:cs="Times New Roman"/>
          <w:color w:val="000000"/>
          <w:sz w:val="28"/>
          <w:szCs w:val="28"/>
        </w:rPr>
        <w:t xml:space="preserve">    A dramatic increase in prevalence of pediatric obesity has occurred in most countries over the past few decades. This is of a particular significance given the fact that overweight children and adolescents are at increased risk of multiple medical comorbidities as well as psychological and behavioral difficulties </w:t>
      </w:r>
      <w:r w:rsidRPr="00977ECD">
        <w:rPr>
          <w:rFonts w:ascii="Times New Roman" w:hAnsi="Times New Roman" w:cs="Times New Roman"/>
          <w:b/>
          <w:bCs/>
          <w:color w:val="000000"/>
          <w:sz w:val="28"/>
          <w:szCs w:val="28"/>
        </w:rPr>
        <w:t>(Nowica and Flodmark, 2008).</w:t>
      </w:r>
    </w:p>
    <w:p w:rsidR="00104300" w:rsidRPr="00977ECD" w:rsidRDefault="00104300" w:rsidP="005C473F">
      <w:pPr>
        <w:bidi w:val="0"/>
        <w:spacing w:after="0" w:line="360" w:lineRule="auto"/>
        <w:jc w:val="both"/>
        <w:rPr>
          <w:rFonts w:ascii="Times New Roman" w:hAnsi="Times New Roman" w:cs="Times New Roman"/>
          <w:b/>
          <w:bCs/>
          <w:sz w:val="28"/>
          <w:szCs w:val="28"/>
          <w:rtl/>
        </w:rPr>
      </w:pPr>
      <w:r w:rsidRPr="00977ECD">
        <w:rPr>
          <w:rFonts w:ascii="Times New Roman" w:hAnsi="Times New Roman" w:cs="Times New Roman"/>
          <w:color w:val="000000"/>
          <w:sz w:val="28"/>
          <w:szCs w:val="28"/>
        </w:rPr>
        <w:t xml:space="preserve">    Understanding the relationship between pediatric obesity and bone health is relevant for health professionals, because childhood and adolescence are two critical periods in the prevention and development of diseases in adulthood </w:t>
      </w:r>
      <w:r w:rsidRPr="00977ECD">
        <w:rPr>
          <w:rFonts w:ascii="Times New Roman" w:hAnsi="Times New Roman" w:cs="Times New Roman"/>
          <w:b/>
          <w:bCs/>
          <w:color w:val="000000"/>
          <w:sz w:val="28"/>
          <w:szCs w:val="28"/>
        </w:rPr>
        <w:t>(National Osteoporosis Foundation, 2013), (Fernandes et al</w:t>
      </w:r>
      <w:r>
        <w:rPr>
          <w:rFonts w:ascii="Times New Roman" w:hAnsi="Times New Roman" w:cs="Times New Roman"/>
          <w:b/>
          <w:bCs/>
          <w:color w:val="000000"/>
          <w:sz w:val="28"/>
          <w:szCs w:val="28"/>
        </w:rPr>
        <w:t>.</w:t>
      </w:r>
      <w:r w:rsidRPr="00977ECD">
        <w:rPr>
          <w:rFonts w:ascii="Times New Roman" w:hAnsi="Times New Roman" w:cs="Times New Roman"/>
          <w:b/>
          <w:bCs/>
          <w:color w:val="000000"/>
          <w:sz w:val="28"/>
          <w:szCs w:val="28"/>
        </w:rPr>
        <w:t>, 2011).</w:t>
      </w:r>
    </w:p>
    <w:p w:rsidR="00104300" w:rsidRPr="00977ECD" w:rsidRDefault="00104300" w:rsidP="005C473F">
      <w:pPr>
        <w:bidi w:val="0"/>
        <w:spacing w:after="0" w:line="360" w:lineRule="auto"/>
        <w:jc w:val="both"/>
        <w:rPr>
          <w:rFonts w:ascii="Times New Roman" w:hAnsi="Times New Roman" w:cs="Times New Roman"/>
          <w:b/>
          <w:bCs/>
          <w:sz w:val="28"/>
          <w:szCs w:val="28"/>
        </w:rPr>
      </w:pPr>
      <w:r w:rsidRPr="00977ECD">
        <w:rPr>
          <w:rFonts w:ascii="Times New Roman" w:hAnsi="Times New Roman" w:cs="Times New Roman"/>
          <w:sz w:val="28"/>
          <w:szCs w:val="28"/>
        </w:rPr>
        <w:t xml:space="preserve">    Early diagnosis by measurement of bone formation and turnover markers and treatment can prevent and reduce the disease complications especially fractures </w:t>
      </w:r>
      <w:r w:rsidRPr="00977ECD">
        <w:rPr>
          <w:rFonts w:ascii="Times New Roman" w:hAnsi="Times New Roman" w:cs="Times New Roman"/>
          <w:b/>
          <w:bCs/>
          <w:sz w:val="28"/>
          <w:szCs w:val="28"/>
        </w:rPr>
        <w:t>(Sambrook &amp;</w:t>
      </w:r>
      <w:r>
        <w:rPr>
          <w:rFonts w:ascii="Times New Roman" w:hAnsi="Times New Roman" w:cs="Times New Roman"/>
          <w:b/>
          <w:bCs/>
          <w:sz w:val="28"/>
          <w:szCs w:val="28"/>
        </w:rPr>
        <w:t xml:space="preserve"> C</w:t>
      </w:r>
      <w:r w:rsidRPr="00977ECD">
        <w:rPr>
          <w:rFonts w:ascii="Times New Roman" w:hAnsi="Times New Roman" w:cs="Times New Roman"/>
          <w:b/>
          <w:bCs/>
          <w:sz w:val="28"/>
          <w:szCs w:val="28"/>
        </w:rPr>
        <w:t>ooper, 2006).</w:t>
      </w:r>
    </w:p>
    <w:p w:rsidR="00104300" w:rsidRPr="00977ECD" w:rsidRDefault="00104300" w:rsidP="005C473F">
      <w:pPr>
        <w:autoSpaceDE w:val="0"/>
        <w:autoSpaceDN w:val="0"/>
        <w:bidi w:val="0"/>
        <w:adjustRightInd w:val="0"/>
        <w:spacing w:after="0" w:line="360" w:lineRule="auto"/>
        <w:jc w:val="both"/>
        <w:rPr>
          <w:rFonts w:ascii="Times New Roman" w:hAnsi="Times New Roman" w:cs="Times New Roman"/>
          <w:color w:val="000000"/>
          <w:sz w:val="28"/>
          <w:szCs w:val="28"/>
        </w:rPr>
      </w:pPr>
      <w:r w:rsidRPr="00977EC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77ECD">
        <w:rPr>
          <w:rFonts w:ascii="Times New Roman" w:hAnsi="Times New Roman" w:cs="Times New Roman"/>
          <w:color w:val="000000"/>
          <w:sz w:val="28"/>
          <w:szCs w:val="28"/>
        </w:rPr>
        <w:t xml:space="preserve">  Childhood and adolescence are important phases of the human development during which the adult bone mass density is determined and, therefore, problems during this period of life could compromise bone health in adulthood </w:t>
      </w:r>
      <w:r w:rsidRPr="00977ECD">
        <w:rPr>
          <w:rFonts w:ascii="Times New Roman" w:hAnsi="Times New Roman" w:cs="Times New Roman"/>
          <w:b/>
          <w:bCs/>
          <w:color w:val="000000"/>
          <w:sz w:val="28"/>
          <w:szCs w:val="28"/>
        </w:rPr>
        <w:t>(Junior et al</w:t>
      </w:r>
      <w:r>
        <w:rPr>
          <w:rFonts w:ascii="Times New Roman" w:hAnsi="Times New Roman" w:cs="Times New Roman"/>
          <w:b/>
          <w:bCs/>
          <w:color w:val="000000"/>
          <w:sz w:val="28"/>
          <w:szCs w:val="28"/>
        </w:rPr>
        <w:t>.</w:t>
      </w:r>
      <w:r w:rsidRPr="00977ECD">
        <w:rPr>
          <w:rFonts w:ascii="Times New Roman" w:hAnsi="Times New Roman" w:cs="Times New Roman"/>
          <w:b/>
          <w:bCs/>
          <w:color w:val="000000"/>
          <w:sz w:val="28"/>
          <w:szCs w:val="28"/>
        </w:rPr>
        <w:t>, 2013).</w:t>
      </w:r>
    </w:p>
    <w:p w:rsidR="00104300" w:rsidRPr="00AB4079" w:rsidRDefault="00104300" w:rsidP="005C473F">
      <w:pPr>
        <w:bidi w:val="0"/>
        <w:spacing w:after="0" w:line="360" w:lineRule="auto"/>
        <w:jc w:val="both"/>
        <w:rPr>
          <w:rFonts w:ascii="Times New Roman" w:hAnsi="Times New Roman" w:cs="Times New Roman"/>
          <w:b/>
          <w:bCs/>
          <w:sz w:val="28"/>
          <w:szCs w:val="28"/>
        </w:rPr>
      </w:pPr>
      <w:r w:rsidRPr="00977ECD">
        <w:rPr>
          <w:rFonts w:ascii="Times New Roman" w:hAnsi="Times New Roman" w:cs="Times New Roman"/>
          <w:color w:val="000000"/>
          <w:sz w:val="28"/>
          <w:szCs w:val="28"/>
        </w:rPr>
        <w:t xml:space="preserve">    Bone status can be described by measuring bone mineral density, which provides information on both bone mineral content and bone fragility. Bone mineral density measurement, however, does not provide data on the rate of bone remodeling (whether formation exceeds or lags resorption). This information is obtained, qualitatively, by measuring biochemical bone markers (the biochemical substance produced or released during bone turnover). Both measurements complement each other and are needed to get a clear understanding of bone status (</w:t>
      </w:r>
      <w:r w:rsidRPr="00977ECD">
        <w:rPr>
          <w:rFonts w:ascii="Times New Roman" w:hAnsi="Times New Roman" w:cs="Times New Roman"/>
          <w:b/>
          <w:bCs/>
          <w:color w:val="000000"/>
          <w:sz w:val="28"/>
          <w:szCs w:val="28"/>
        </w:rPr>
        <w:t>Vesper, 2004</w:t>
      </w:r>
      <w:r w:rsidRPr="00977ECD">
        <w:rPr>
          <w:rFonts w:ascii="Times New Roman" w:hAnsi="Times New Roman" w:cs="Times New Roman"/>
          <w:color w:val="000000"/>
          <w:sz w:val="28"/>
          <w:szCs w:val="28"/>
        </w:rPr>
        <w:t>).</w:t>
      </w:r>
    </w:p>
    <w:p w:rsidR="00104300" w:rsidRPr="00977ECD" w:rsidRDefault="00104300" w:rsidP="005C473F">
      <w:pPr>
        <w:bidi w:val="0"/>
        <w:spacing w:after="0" w:line="360" w:lineRule="auto"/>
        <w:jc w:val="both"/>
        <w:rPr>
          <w:rFonts w:ascii="Times New Roman" w:hAnsi="Times New Roman" w:cs="Times New Roman"/>
          <w:b/>
          <w:bCs/>
          <w:sz w:val="28"/>
          <w:szCs w:val="28"/>
        </w:rPr>
      </w:pPr>
      <w:r w:rsidRPr="00977EC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7ECD">
        <w:rPr>
          <w:rFonts w:ascii="Times New Roman" w:hAnsi="Times New Roman" w:cs="Times New Roman"/>
          <w:sz w:val="28"/>
          <w:szCs w:val="28"/>
        </w:rPr>
        <w:t xml:space="preserve"> Many physiological and pathological processes may influence bone metabolism resulting in changes in serum concentration of bone turnover markers. Measurements of these parameters offer many advantages for investigating skeletal diseases in children and adolescents as well as monitoring the response to treatment</w:t>
      </w:r>
      <w:r w:rsidRPr="00977ECD">
        <w:rPr>
          <w:rFonts w:ascii="Times New Roman" w:hAnsi="Times New Roman" w:cs="Times New Roman"/>
          <w:b/>
          <w:bCs/>
          <w:sz w:val="28"/>
          <w:szCs w:val="28"/>
        </w:rPr>
        <w:t xml:space="preserve"> (Ambroszkiewicz, 2007).</w:t>
      </w:r>
    </w:p>
    <w:p w:rsidR="00104300" w:rsidRPr="00977ECD" w:rsidRDefault="00104300" w:rsidP="005C473F">
      <w:pPr>
        <w:bidi w:val="0"/>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77ECD">
        <w:rPr>
          <w:rFonts w:ascii="Times New Roman" w:hAnsi="Times New Roman" w:cs="Times New Roman"/>
          <w:sz w:val="28"/>
          <w:szCs w:val="28"/>
        </w:rPr>
        <w:t>Osteocalcin, the major non-collagenous protein, synthetized by osteoblasts plays an important role in the regulation of bone growth and in the correct deposition of the minerals in the matrix. Its expression follows the proliferative phase of osteoblastic differentiation, so it can be considered a marker of mature osteoblasts. Serum</w:t>
      </w:r>
      <w:r w:rsidRPr="00977ECD">
        <w:rPr>
          <w:rFonts w:ascii="Times New Roman" w:hAnsi="Times New Roman" w:cs="Times New Roman"/>
          <w:b/>
          <w:bCs/>
          <w:sz w:val="28"/>
          <w:szCs w:val="28"/>
        </w:rPr>
        <w:t xml:space="preserve"> </w:t>
      </w:r>
      <w:r w:rsidRPr="00977ECD">
        <w:rPr>
          <w:rFonts w:ascii="Times New Roman" w:hAnsi="Times New Roman" w:cs="Times New Roman"/>
          <w:sz w:val="28"/>
          <w:szCs w:val="28"/>
        </w:rPr>
        <w:t xml:space="preserve">levels of Osteocalcin and deoxypyridinoline are not stable throughout our life and are greater in infants and children than in adults. Peak values occur at puberty. Children have significantly elevated bone marker levels due to high skeletal growth velocity and rapid bone turn over during childhood growth </w:t>
      </w:r>
      <w:r w:rsidRPr="00977ECD">
        <w:rPr>
          <w:rFonts w:ascii="Times New Roman" w:hAnsi="Times New Roman" w:cs="Times New Roman"/>
          <w:b/>
          <w:bCs/>
          <w:sz w:val="28"/>
          <w:szCs w:val="28"/>
        </w:rPr>
        <w:t>(Yang, 2006</w:t>
      </w:r>
      <w:r>
        <w:rPr>
          <w:rFonts w:ascii="Times New Roman" w:hAnsi="Times New Roman" w:cs="Times New Roman"/>
          <w:b/>
          <w:bCs/>
          <w:sz w:val="28"/>
          <w:szCs w:val="28"/>
        </w:rPr>
        <w:t xml:space="preserve">; </w:t>
      </w:r>
      <w:r w:rsidRPr="00977ECD">
        <w:rPr>
          <w:rFonts w:ascii="Times New Roman" w:hAnsi="Times New Roman" w:cs="Times New Roman"/>
          <w:b/>
          <w:bCs/>
          <w:sz w:val="28"/>
          <w:szCs w:val="28"/>
        </w:rPr>
        <w:t>Ambroszkiewicz, 2007).</w:t>
      </w:r>
      <w:r w:rsidRPr="00977ECD">
        <w:rPr>
          <w:rFonts w:ascii="Times New Roman" w:hAnsi="Times New Roman" w:cs="Times New Roman"/>
          <w:sz w:val="28"/>
          <w:szCs w:val="28"/>
        </w:rPr>
        <w:t xml:space="preserve"> </w:t>
      </w:r>
    </w:p>
    <w:p w:rsidR="00104300" w:rsidRPr="00977ECD" w:rsidRDefault="00104300" w:rsidP="005C473F">
      <w:pPr>
        <w:autoSpaceDE w:val="0"/>
        <w:autoSpaceDN w:val="0"/>
        <w:bidi w:val="0"/>
        <w:adjustRightInd w:val="0"/>
        <w:spacing w:after="0" w:line="360" w:lineRule="auto"/>
        <w:jc w:val="both"/>
        <w:rPr>
          <w:rFonts w:ascii="Times New Roman" w:hAnsi="Times New Roman" w:cs="Times New Roman"/>
          <w:b/>
          <w:bCs/>
          <w:sz w:val="28"/>
          <w:szCs w:val="28"/>
        </w:rPr>
      </w:pPr>
      <w:r w:rsidRPr="00977EC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7ECD">
        <w:rPr>
          <w:rFonts w:ascii="Times New Roman" w:hAnsi="Times New Roman" w:cs="Times New Roman"/>
          <w:sz w:val="28"/>
          <w:szCs w:val="28"/>
        </w:rPr>
        <w:t xml:space="preserve"> The bone resorption marker deoxypyridinoline (DPD) reflects the level of osteoclastic activity in the bone-remodeling process. Accelerated osteoclastic activity increases bone turnover.  Elevated levels of resorption markers indicate increased osteoclastic activity and a higher risk for osteoporotic hip fracture, independent of bone mineral density (BMD).  Even when BMD is not in the osteoporotic range, increases in urine DPD indicate increased osteoclastic-bone resorption and risk for fracture </w:t>
      </w:r>
      <w:r w:rsidRPr="00977ECD">
        <w:rPr>
          <w:rFonts w:ascii="Times New Roman" w:hAnsi="Times New Roman" w:cs="Times New Roman"/>
          <w:b/>
          <w:bCs/>
          <w:sz w:val="28"/>
          <w:szCs w:val="28"/>
        </w:rPr>
        <w:t>(McCormic, 2007).</w:t>
      </w:r>
    </w:p>
    <w:p w:rsidR="00104300" w:rsidRPr="00977ECD" w:rsidRDefault="00104300" w:rsidP="005C473F">
      <w:pPr>
        <w:autoSpaceDE w:val="0"/>
        <w:autoSpaceDN w:val="0"/>
        <w:bidi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77ECD">
        <w:rPr>
          <w:rFonts w:ascii="Times New Roman" w:hAnsi="Times New Roman" w:cs="Times New Roman"/>
          <w:sz w:val="28"/>
          <w:szCs w:val="28"/>
        </w:rPr>
        <w:t>Therefore, the spread of obesity among prepubertal children and frequent occurrence of fractures raises the need for a tool for early detection of osteoporosis among obese children.</w:t>
      </w:r>
    </w:p>
    <w:p w:rsidR="00104300" w:rsidRPr="00977ECD" w:rsidRDefault="00104300" w:rsidP="005C473F">
      <w:pPr>
        <w:autoSpaceDE w:val="0"/>
        <w:autoSpaceDN w:val="0"/>
        <w:bidi w:val="0"/>
        <w:adjustRightInd w:val="0"/>
        <w:spacing w:after="0" w:line="360" w:lineRule="auto"/>
        <w:jc w:val="both"/>
        <w:rPr>
          <w:rFonts w:ascii="Times New Roman" w:hAnsi="Times New Roman" w:cs="Times New Roman"/>
          <w:sz w:val="28"/>
          <w:szCs w:val="28"/>
        </w:rPr>
      </w:pPr>
      <w:r w:rsidRPr="00977EC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7ECD">
        <w:rPr>
          <w:rFonts w:ascii="Times New Roman" w:hAnsi="Times New Roman" w:cs="Times New Roman"/>
          <w:sz w:val="28"/>
          <w:szCs w:val="28"/>
        </w:rPr>
        <w:t xml:space="preserve">  The</w:t>
      </w:r>
      <w:r w:rsidRPr="00977ECD">
        <w:rPr>
          <w:rFonts w:ascii="Times New Roman" w:hAnsi="Times New Roman" w:cs="Times New Roman"/>
          <w:b/>
          <w:bCs/>
          <w:sz w:val="28"/>
          <w:szCs w:val="28"/>
        </w:rPr>
        <w:t xml:space="preserve"> </w:t>
      </w:r>
      <w:r w:rsidRPr="00977ECD">
        <w:rPr>
          <w:rFonts w:ascii="Times New Roman" w:hAnsi="Times New Roman" w:cs="Times New Roman"/>
          <w:sz w:val="28"/>
          <w:szCs w:val="28"/>
        </w:rPr>
        <w:t>aim of the present study was to compare between the measurements of serum Osteocalcin (as a bone formation marker) and urinary DPD (as a bone turn over marker) in obese and non-obese prepubertal children for early detection of osteoporosis in childhood.</w:t>
      </w:r>
    </w:p>
    <w:p w:rsidR="00104300" w:rsidRPr="00E328F5" w:rsidRDefault="00104300" w:rsidP="005C473F">
      <w:pPr>
        <w:bidi w:val="0"/>
        <w:spacing w:after="0" w:line="360" w:lineRule="auto"/>
        <w:jc w:val="both"/>
        <w:rPr>
          <w:rFonts w:ascii="Times New Roman" w:hAnsi="Times New Roman" w:cs="Times New Roman"/>
          <w:b/>
          <w:bCs/>
          <w:sz w:val="32"/>
          <w:szCs w:val="32"/>
        </w:rPr>
      </w:pPr>
      <w:r w:rsidRPr="00E328F5">
        <w:rPr>
          <w:rFonts w:ascii="Times New Roman" w:hAnsi="Times New Roman" w:cs="Times New Roman"/>
          <w:b/>
          <w:bCs/>
          <w:sz w:val="32"/>
          <w:szCs w:val="32"/>
        </w:rPr>
        <w:t>Subjects and methods</w:t>
      </w:r>
    </w:p>
    <w:p w:rsidR="00104300" w:rsidRPr="00977ECD" w:rsidRDefault="00104300" w:rsidP="005C473F">
      <w:pPr>
        <w:bidi w:val="0"/>
        <w:spacing w:after="0" w:line="360" w:lineRule="auto"/>
        <w:jc w:val="both"/>
        <w:rPr>
          <w:rFonts w:ascii="Times New Roman" w:hAnsi="Times New Roman" w:cs="Times New Roman"/>
          <w:sz w:val="28"/>
          <w:szCs w:val="28"/>
        </w:rPr>
      </w:pPr>
      <w:r w:rsidRPr="00977ECD">
        <w:rPr>
          <w:rFonts w:ascii="Times New Roman" w:hAnsi="Times New Roman" w:cs="Times New Roman"/>
          <w:sz w:val="28"/>
          <w:szCs w:val="28"/>
        </w:rPr>
        <w:t xml:space="preserve">    This case-control study included eighty (80) Egyptian children, aged 6-10 years, divided into 40 cases (obese) and 40 controls (non-obese). They were enrolled from the outpatient clinic of the Institute of Postgraduate of Childhood Studies, Ain Shams University during the period from September 2012 till March 2013.</w:t>
      </w:r>
    </w:p>
    <w:p w:rsidR="00104300" w:rsidRPr="00977ECD" w:rsidRDefault="00104300" w:rsidP="005C473F">
      <w:pPr>
        <w:bidi w:val="0"/>
        <w:spacing w:after="0" w:line="360" w:lineRule="auto"/>
        <w:jc w:val="both"/>
        <w:rPr>
          <w:rFonts w:ascii="Times New Roman" w:hAnsi="Times New Roman" w:cs="Times New Roman"/>
          <w:b/>
          <w:sz w:val="28"/>
          <w:szCs w:val="28"/>
        </w:rPr>
      </w:pPr>
      <w:r w:rsidRPr="00E328F5">
        <w:rPr>
          <w:rFonts w:ascii="Times New Roman" w:hAnsi="Times New Roman" w:cs="Times New Roman"/>
          <w:b/>
          <w:sz w:val="32"/>
          <w:szCs w:val="32"/>
        </w:rPr>
        <w:t>Inclusion criteria:</w:t>
      </w:r>
      <w:r w:rsidRPr="00977ECD">
        <w:rPr>
          <w:rFonts w:ascii="Times New Roman" w:hAnsi="Times New Roman" w:cs="Times New Roman"/>
          <w:bCs/>
          <w:sz w:val="28"/>
          <w:szCs w:val="28"/>
        </w:rPr>
        <w:t xml:space="preserve"> Children with simple exogenous obesity. Their </w:t>
      </w:r>
      <w:r w:rsidRPr="00977ECD">
        <w:rPr>
          <w:rFonts w:ascii="Times New Roman" w:hAnsi="Times New Roman" w:cs="Times New Roman"/>
          <w:sz w:val="28"/>
          <w:szCs w:val="28"/>
        </w:rPr>
        <w:t>BMI exceeding 95</w:t>
      </w:r>
      <w:r w:rsidRPr="00977ECD">
        <w:rPr>
          <w:rFonts w:ascii="Times New Roman" w:hAnsi="Times New Roman" w:cs="Times New Roman"/>
          <w:sz w:val="28"/>
          <w:szCs w:val="28"/>
          <w:vertAlign w:val="superscript"/>
        </w:rPr>
        <w:t>th</w:t>
      </w:r>
      <w:r w:rsidRPr="00977ECD">
        <w:rPr>
          <w:rFonts w:ascii="Times New Roman" w:hAnsi="Times New Roman" w:cs="Times New Roman"/>
          <w:sz w:val="28"/>
          <w:szCs w:val="28"/>
        </w:rPr>
        <w:t xml:space="preserve"> percentile for obese and above 5</w:t>
      </w:r>
      <w:r w:rsidRPr="00977ECD">
        <w:rPr>
          <w:rFonts w:ascii="Times New Roman" w:hAnsi="Times New Roman" w:cs="Times New Roman"/>
          <w:sz w:val="28"/>
          <w:szCs w:val="28"/>
          <w:vertAlign w:val="superscript"/>
        </w:rPr>
        <w:t>th</w:t>
      </w:r>
      <w:r w:rsidRPr="00977ECD">
        <w:rPr>
          <w:rFonts w:ascii="Times New Roman" w:hAnsi="Times New Roman" w:cs="Times New Roman"/>
          <w:sz w:val="28"/>
          <w:szCs w:val="28"/>
        </w:rPr>
        <w:t xml:space="preserve"> to less than 85</w:t>
      </w:r>
      <w:r w:rsidRPr="00977ECD">
        <w:rPr>
          <w:rFonts w:ascii="Times New Roman" w:hAnsi="Times New Roman" w:cs="Times New Roman"/>
          <w:sz w:val="28"/>
          <w:szCs w:val="28"/>
          <w:vertAlign w:val="superscript"/>
        </w:rPr>
        <w:t>th</w:t>
      </w:r>
      <w:r w:rsidRPr="00977ECD">
        <w:rPr>
          <w:rFonts w:ascii="Times New Roman" w:hAnsi="Times New Roman" w:cs="Times New Roman"/>
          <w:sz w:val="28"/>
          <w:szCs w:val="28"/>
        </w:rPr>
        <w:t xml:space="preserve"> percentile for non-obese according to the Egyptian Growth Charts </w:t>
      </w:r>
      <w:r w:rsidRPr="00977ECD">
        <w:rPr>
          <w:rFonts w:ascii="Times New Roman" w:hAnsi="Times New Roman" w:cs="Times New Roman"/>
          <w:b/>
          <w:bCs/>
          <w:sz w:val="28"/>
          <w:szCs w:val="28"/>
        </w:rPr>
        <w:t>(Ghali et al</w:t>
      </w:r>
      <w:r>
        <w:rPr>
          <w:rFonts w:ascii="Times New Roman" w:hAnsi="Times New Roman" w:cs="Times New Roman"/>
          <w:b/>
          <w:bCs/>
          <w:sz w:val="28"/>
          <w:szCs w:val="28"/>
        </w:rPr>
        <w:t>.</w:t>
      </w:r>
      <w:r w:rsidRPr="00977ECD">
        <w:rPr>
          <w:rFonts w:ascii="Times New Roman" w:hAnsi="Times New Roman" w:cs="Times New Roman"/>
          <w:b/>
          <w:bCs/>
          <w:sz w:val="28"/>
          <w:szCs w:val="28"/>
        </w:rPr>
        <w:t>, 2008)</w:t>
      </w:r>
      <w:r w:rsidRPr="00977ECD">
        <w:rPr>
          <w:rFonts w:ascii="Times New Roman" w:hAnsi="Times New Roman" w:cs="Times New Roman"/>
          <w:sz w:val="28"/>
          <w:szCs w:val="28"/>
        </w:rPr>
        <w:t>.</w:t>
      </w:r>
      <w:r w:rsidRPr="00977ECD">
        <w:rPr>
          <w:rFonts w:ascii="Times New Roman" w:hAnsi="Times New Roman" w:cs="Times New Roman"/>
          <w:bCs/>
          <w:sz w:val="28"/>
          <w:szCs w:val="28"/>
        </w:rPr>
        <w:t>They</w:t>
      </w:r>
      <w:r w:rsidRPr="00977ECD">
        <w:rPr>
          <w:rFonts w:ascii="Times New Roman" w:hAnsi="Times New Roman" w:cs="Times New Roman"/>
          <w:b/>
          <w:sz w:val="28"/>
          <w:szCs w:val="28"/>
        </w:rPr>
        <w:t xml:space="preserve"> </w:t>
      </w:r>
      <w:r w:rsidRPr="00977ECD">
        <w:rPr>
          <w:rFonts w:ascii="Times New Roman" w:hAnsi="Times New Roman" w:cs="Times New Roman"/>
          <w:sz w:val="28"/>
          <w:szCs w:val="28"/>
        </w:rPr>
        <w:t>were taken from both sexes and aged from 6-10 years.</w:t>
      </w:r>
    </w:p>
    <w:p w:rsidR="00104300" w:rsidRPr="00AB4079" w:rsidRDefault="00104300" w:rsidP="005C473F">
      <w:pPr>
        <w:bidi w:val="0"/>
        <w:spacing w:after="0" w:line="360" w:lineRule="auto"/>
        <w:jc w:val="both"/>
        <w:rPr>
          <w:rFonts w:ascii="Times New Roman" w:hAnsi="Times New Roman" w:cs="Times New Roman"/>
          <w:sz w:val="28"/>
          <w:szCs w:val="28"/>
        </w:rPr>
      </w:pPr>
      <w:r w:rsidRPr="00E328F5">
        <w:rPr>
          <w:rFonts w:ascii="Times New Roman" w:hAnsi="Times New Roman" w:cs="Times New Roman"/>
          <w:b/>
          <w:sz w:val="32"/>
          <w:szCs w:val="32"/>
        </w:rPr>
        <w:t>Exclusion criteria:</w:t>
      </w:r>
      <w:r w:rsidRPr="00977ECD">
        <w:rPr>
          <w:rFonts w:ascii="Times New Roman" w:hAnsi="Times New Roman" w:cs="Times New Roman"/>
          <w:b/>
          <w:sz w:val="28"/>
          <w:szCs w:val="28"/>
        </w:rPr>
        <w:t xml:space="preserve"> </w:t>
      </w:r>
      <w:r w:rsidRPr="00977ECD">
        <w:rPr>
          <w:rFonts w:ascii="Times New Roman" w:hAnsi="Times New Roman" w:cs="Times New Roman"/>
          <w:bCs/>
          <w:sz w:val="28"/>
          <w:szCs w:val="28"/>
        </w:rPr>
        <w:t>Children</w:t>
      </w:r>
      <w:r w:rsidRPr="00977ECD">
        <w:rPr>
          <w:rFonts w:ascii="Times New Roman" w:hAnsi="Times New Roman" w:cs="Times New Roman"/>
          <w:b/>
          <w:sz w:val="28"/>
          <w:szCs w:val="28"/>
        </w:rPr>
        <w:t xml:space="preserve"> </w:t>
      </w:r>
      <w:r w:rsidRPr="00977ECD">
        <w:rPr>
          <w:rFonts w:ascii="Times New Roman" w:hAnsi="Times New Roman" w:cs="Times New Roman"/>
          <w:bCs/>
          <w:sz w:val="28"/>
          <w:szCs w:val="28"/>
        </w:rPr>
        <w:t>with</w:t>
      </w:r>
      <w:r w:rsidRPr="00977ECD">
        <w:rPr>
          <w:rFonts w:ascii="Times New Roman" w:hAnsi="Times New Roman" w:cs="Times New Roman"/>
          <w:b/>
          <w:sz w:val="28"/>
          <w:szCs w:val="28"/>
        </w:rPr>
        <w:t xml:space="preserve"> </w:t>
      </w:r>
      <w:r w:rsidRPr="00977ECD">
        <w:rPr>
          <w:rFonts w:ascii="Times New Roman" w:hAnsi="Times New Roman" w:cs="Times New Roman"/>
          <w:bCs/>
          <w:sz w:val="28"/>
          <w:szCs w:val="28"/>
        </w:rPr>
        <w:t xml:space="preserve">the following conditions were excluded from the study: </w:t>
      </w:r>
      <w:r w:rsidRPr="00977ECD">
        <w:rPr>
          <w:rFonts w:ascii="Times New Roman" w:hAnsi="Times New Roman" w:cs="Times New Roman"/>
          <w:sz w:val="28"/>
          <w:szCs w:val="28"/>
        </w:rPr>
        <w:t>Congenital &amp; endocrinal causes of obesity (e.g. Hypothyroidism, Cushing disease), Syndromatic obesity such as; Prader-Willi syndrome and Laurance-Moon- Beidel syndrome) and Corticosteroid therapy; which causes</w:t>
      </w:r>
      <w:r w:rsidRPr="00977ECD">
        <w:rPr>
          <w:rFonts w:ascii="Times New Roman" w:hAnsi="Times New Roman" w:cs="Times New Roman"/>
          <w:color w:val="FF0000"/>
          <w:sz w:val="28"/>
          <w:szCs w:val="28"/>
        </w:rPr>
        <w:t xml:space="preserve"> </w:t>
      </w:r>
      <w:r w:rsidRPr="00977ECD">
        <w:rPr>
          <w:rFonts w:ascii="Times New Roman" w:hAnsi="Times New Roman" w:cs="Times New Roman"/>
          <w:sz w:val="28"/>
          <w:szCs w:val="28"/>
        </w:rPr>
        <w:t xml:space="preserve">alteration in lipid and glucose metabolism.         </w:t>
      </w:r>
    </w:p>
    <w:p w:rsidR="00104300" w:rsidRPr="00AB4079" w:rsidRDefault="00104300" w:rsidP="005C473F">
      <w:pPr>
        <w:bidi w:val="0"/>
        <w:spacing w:after="0" w:line="360" w:lineRule="auto"/>
        <w:jc w:val="both"/>
        <w:rPr>
          <w:rFonts w:ascii="Times New Roman" w:hAnsi="Times New Roman" w:cs="Times New Roman"/>
          <w:sz w:val="28"/>
          <w:szCs w:val="28"/>
        </w:rPr>
      </w:pPr>
      <w:r w:rsidRPr="00977ECD">
        <w:rPr>
          <w:rFonts w:ascii="Times New Roman" w:hAnsi="Times New Roman" w:cs="Times New Roman"/>
          <w:bCs/>
          <w:sz w:val="28"/>
          <w:szCs w:val="28"/>
        </w:rPr>
        <w:t xml:space="preserve">    Written informed consent was taken from all patients’ parents before enrollment in the study and after full explanation of their role in the research.  The consent was approved by the ethical committee of the National Research Center and Institute of postgraduate childhood studies, Ain Shams University.</w:t>
      </w:r>
    </w:p>
    <w:p w:rsidR="00104300" w:rsidRPr="00977ECD" w:rsidRDefault="00104300" w:rsidP="005C473F">
      <w:pPr>
        <w:bidi w:val="0"/>
        <w:spacing w:after="0" w:line="360" w:lineRule="auto"/>
        <w:ind w:right="720"/>
        <w:jc w:val="both"/>
        <w:rPr>
          <w:rFonts w:ascii="Times New Roman" w:hAnsi="Times New Roman" w:cs="Times New Roman"/>
          <w:sz w:val="28"/>
          <w:szCs w:val="28"/>
        </w:rPr>
      </w:pPr>
      <w:r w:rsidRPr="00977ECD">
        <w:rPr>
          <w:rFonts w:ascii="Times New Roman" w:hAnsi="Times New Roman" w:cs="Times New Roman"/>
          <w:b/>
          <w:bCs/>
          <w:sz w:val="28"/>
          <w:szCs w:val="28"/>
        </w:rPr>
        <w:t xml:space="preserve">    </w:t>
      </w:r>
      <w:r w:rsidRPr="00977ECD">
        <w:rPr>
          <w:rFonts w:ascii="Times New Roman" w:hAnsi="Times New Roman" w:cs="Times New Roman"/>
          <w:sz w:val="28"/>
          <w:szCs w:val="28"/>
        </w:rPr>
        <w:t>All children included in the study will be subjected to the following:</w:t>
      </w:r>
    </w:p>
    <w:p w:rsidR="00104300" w:rsidRPr="00977ECD" w:rsidRDefault="00104300" w:rsidP="005C473F">
      <w:pPr>
        <w:bidi w:val="0"/>
        <w:spacing w:after="0" w:line="360" w:lineRule="auto"/>
        <w:ind w:right="405"/>
        <w:jc w:val="both"/>
        <w:rPr>
          <w:rFonts w:ascii="Times New Roman" w:hAnsi="Times New Roman" w:cs="Times New Roman"/>
          <w:b/>
          <w:sz w:val="28"/>
          <w:szCs w:val="28"/>
          <w:u w:val="single"/>
        </w:rPr>
      </w:pPr>
      <w:r w:rsidRPr="00977ECD">
        <w:rPr>
          <w:rFonts w:ascii="Times New Roman" w:hAnsi="Times New Roman" w:cs="Times New Roman"/>
          <w:b/>
          <w:sz w:val="28"/>
          <w:szCs w:val="28"/>
          <w:u w:val="single"/>
        </w:rPr>
        <w:t>I-Full history taking:</w:t>
      </w:r>
    </w:p>
    <w:p w:rsidR="00104300" w:rsidRPr="00977ECD" w:rsidRDefault="00104300" w:rsidP="005C473F">
      <w:pPr>
        <w:bidi w:val="0"/>
        <w:spacing w:after="0" w:line="360" w:lineRule="auto"/>
        <w:jc w:val="both"/>
        <w:rPr>
          <w:rFonts w:ascii="Times New Roman" w:hAnsi="Times New Roman" w:cs="Times New Roman"/>
          <w:sz w:val="28"/>
          <w:szCs w:val="28"/>
        </w:rPr>
      </w:pPr>
      <w:r w:rsidRPr="00977EC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7ECD">
        <w:rPr>
          <w:rFonts w:ascii="Times New Roman" w:hAnsi="Times New Roman" w:cs="Times New Roman"/>
          <w:sz w:val="28"/>
          <w:szCs w:val="28"/>
        </w:rPr>
        <w:t xml:space="preserve"> This includes personal history (age, sex…etc), past history for systemic diseases, drug administration (as corticosteroids), and family history of obesity, diabetes, hypertension.</w:t>
      </w:r>
    </w:p>
    <w:p w:rsidR="00104300" w:rsidRPr="00977ECD" w:rsidRDefault="00104300" w:rsidP="005C473F">
      <w:pPr>
        <w:bidi w:val="0"/>
        <w:spacing w:after="0" w:line="360" w:lineRule="auto"/>
        <w:jc w:val="both"/>
        <w:rPr>
          <w:rFonts w:ascii="Times New Roman" w:hAnsi="Times New Roman" w:cs="Times New Roman"/>
          <w:b/>
          <w:bCs/>
          <w:sz w:val="28"/>
          <w:szCs w:val="28"/>
          <w:u w:val="single"/>
        </w:rPr>
      </w:pPr>
      <w:r w:rsidRPr="00977ECD">
        <w:rPr>
          <w:rFonts w:ascii="Times New Roman" w:hAnsi="Times New Roman" w:cs="Times New Roman"/>
          <w:b/>
          <w:bCs/>
          <w:sz w:val="28"/>
          <w:szCs w:val="28"/>
          <w:u w:val="single"/>
        </w:rPr>
        <w:t>II-Thorough clinical examination:</w:t>
      </w:r>
    </w:p>
    <w:p w:rsidR="00104300" w:rsidRPr="00977ECD" w:rsidRDefault="00104300" w:rsidP="005C473F">
      <w:pPr>
        <w:bidi w:val="0"/>
        <w:spacing w:after="0" w:line="360" w:lineRule="auto"/>
        <w:jc w:val="both"/>
        <w:rPr>
          <w:rFonts w:ascii="Times New Roman" w:hAnsi="Times New Roman" w:cs="Times New Roman"/>
          <w:sz w:val="28"/>
          <w:szCs w:val="28"/>
        </w:rPr>
      </w:pPr>
      <w:r w:rsidRPr="00977ECD">
        <w:rPr>
          <w:rFonts w:ascii="Times New Roman" w:hAnsi="Times New Roman" w:cs="Times New Roman"/>
          <w:sz w:val="28"/>
          <w:szCs w:val="28"/>
        </w:rPr>
        <w:t>-General examination: pulse, blood pressure and temperature.</w:t>
      </w:r>
    </w:p>
    <w:p w:rsidR="00104300" w:rsidRPr="00977ECD" w:rsidRDefault="00104300" w:rsidP="005C473F">
      <w:pPr>
        <w:bidi w:val="0"/>
        <w:spacing w:after="0" w:line="360" w:lineRule="auto"/>
        <w:jc w:val="both"/>
        <w:rPr>
          <w:rFonts w:ascii="Times New Roman" w:hAnsi="Times New Roman" w:cs="Times New Roman"/>
          <w:sz w:val="28"/>
          <w:szCs w:val="28"/>
        </w:rPr>
      </w:pPr>
      <w:r w:rsidRPr="00977ECD">
        <w:rPr>
          <w:rFonts w:ascii="Times New Roman" w:hAnsi="Times New Roman" w:cs="Times New Roman"/>
          <w:sz w:val="28"/>
          <w:szCs w:val="28"/>
        </w:rPr>
        <w:t>-Systemic examination: head and neck, cardiac, chest, abdominal and neurological examination.</w:t>
      </w:r>
    </w:p>
    <w:p w:rsidR="00104300" w:rsidRPr="00977ECD" w:rsidRDefault="00104300" w:rsidP="005C473F">
      <w:pPr>
        <w:bidi w:val="0"/>
        <w:spacing w:after="0" w:line="360" w:lineRule="auto"/>
        <w:ind w:right="405"/>
        <w:jc w:val="both"/>
        <w:rPr>
          <w:rFonts w:ascii="Times New Roman" w:hAnsi="Times New Roman" w:cs="Times New Roman"/>
          <w:b/>
          <w:sz w:val="28"/>
          <w:szCs w:val="28"/>
          <w:u w:val="single"/>
        </w:rPr>
      </w:pPr>
      <w:r w:rsidRPr="00977ECD">
        <w:rPr>
          <w:rFonts w:ascii="Times New Roman" w:hAnsi="Times New Roman" w:cs="Times New Roman"/>
          <w:b/>
          <w:sz w:val="28"/>
          <w:szCs w:val="28"/>
          <w:u w:val="single"/>
        </w:rPr>
        <w:t>III-Anthropometric measurements and auxology:</w:t>
      </w:r>
    </w:p>
    <w:p w:rsidR="00104300" w:rsidRPr="00977ECD" w:rsidRDefault="00104300" w:rsidP="005C473F">
      <w:pPr>
        <w:bidi w:val="0"/>
        <w:spacing w:after="0" w:line="360" w:lineRule="auto"/>
        <w:ind w:right="720"/>
        <w:jc w:val="both"/>
        <w:rPr>
          <w:rFonts w:ascii="Times New Roman" w:hAnsi="Times New Roman" w:cs="Times New Roman"/>
          <w:sz w:val="28"/>
          <w:szCs w:val="28"/>
        </w:rPr>
      </w:pPr>
      <w:r w:rsidRPr="00977ECD">
        <w:rPr>
          <w:rFonts w:ascii="Times New Roman" w:hAnsi="Times New Roman" w:cs="Times New Roman"/>
          <w:b/>
          <w:sz w:val="28"/>
          <w:szCs w:val="28"/>
        </w:rPr>
        <w:t xml:space="preserve">    </w:t>
      </w:r>
      <w:r w:rsidRPr="00977ECD">
        <w:rPr>
          <w:rFonts w:ascii="Times New Roman" w:hAnsi="Times New Roman" w:cs="Times New Roman"/>
          <w:sz w:val="28"/>
          <w:szCs w:val="28"/>
        </w:rPr>
        <w:t xml:space="preserve">All anthropometric measurements will be obtained using standardized equipment, and following the recommendations of the International Biological program </w:t>
      </w:r>
      <w:r w:rsidRPr="00977ECD">
        <w:rPr>
          <w:rFonts w:ascii="Times New Roman" w:hAnsi="Times New Roman" w:cs="Times New Roman"/>
          <w:b/>
          <w:sz w:val="28"/>
          <w:szCs w:val="28"/>
        </w:rPr>
        <w:t>(Hiernaux and Tanner, 1969).</w:t>
      </w:r>
    </w:p>
    <w:p w:rsidR="00104300" w:rsidRPr="00977ECD" w:rsidRDefault="00104300" w:rsidP="005C473F">
      <w:pPr>
        <w:numPr>
          <w:ilvl w:val="0"/>
          <w:numId w:val="2"/>
        </w:numPr>
        <w:tabs>
          <w:tab w:val="clear" w:pos="4896"/>
        </w:tabs>
        <w:bidi w:val="0"/>
        <w:spacing w:after="0" w:line="360" w:lineRule="auto"/>
        <w:ind w:left="567" w:right="360" w:hanging="141"/>
        <w:rPr>
          <w:rFonts w:ascii="Times New Roman" w:hAnsi="Times New Roman" w:cs="Times New Roman"/>
          <w:color w:val="FF0000"/>
          <w:sz w:val="28"/>
          <w:szCs w:val="28"/>
        </w:rPr>
      </w:pPr>
      <w:r w:rsidRPr="00977ECD">
        <w:rPr>
          <w:rFonts w:ascii="Times New Roman" w:hAnsi="Times New Roman" w:cs="Times New Roman"/>
          <w:b/>
          <w:bCs/>
          <w:sz w:val="28"/>
          <w:szCs w:val="28"/>
        </w:rPr>
        <w:t>Body weight</w:t>
      </w:r>
      <w:r w:rsidRPr="00977ECD">
        <w:rPr>
          <w:rFonts w:ascii="Times New Roman" w:hAnsi="Times New Roman" w:cs="Times New Roman"/>
          <w:sz w:val="28"/>
          <w:szCs w:val="28"/>
        </w:rPr>
        <w:t xml:space="preserve">. </w:t>
      </w:r>
    </w:p>
    <w:p w:rsidR="00104300" w:rsidRPr="00977ECD" w:rsidRDefault="00104300" w:rsidP="005C473F">
      <w:pPr>
        <w:numPr>
          <w:ilvl w:val="0"/>
          <w:numId w:val="2"/>
        </w:numPr>
        <w:tabs>
          <w:tab w:val="clear" w:pos="4896"/>
        </w:tabs>
        <w:bidi w:val="0"/>
        <w:spacing w:after="0" w:line="360" w:lineRule="auto"/>
        <w:ind w:left="567" w:right="360" w:hanging="141"/>
        <w:rPr>
          <w:rFonts w:ascii="Times New Roman" w:hAnsi="Times New Roman" w:cs="Times New Roman"/>
          <w:sz w:val="28"/>
          <w:szCs w:val="28"/>
        </w:rPr>
      </w:pPr>
      <w:r w:rsidRPr="00977ECD">
        <w:rPr>
          <w:rFonts w:ascii="Times New Roman" w:hAnsi="Times New Roman" w:cs="Times New Roman"/>
          <w:b/>
          <w:bCs/>
          <w:sz w:val="28"/>
          <w:szCs w:val="28"/>
        </w:rPr>
        <w:t>Body height</w:t>
      </w:r>
      <w:r w:rsidRPr="00977ECD">
        <w:rPr>
          <w:rFonts w:ascii="Times New Roman" w:hAnsi="Times New Roman" w:cs="Times New Roman"/>
          <w:sz w:val="28"/>
          <w:szCs w:val="28"/>
        </w:rPr>
        <w:t>.</w:t>
      </w:r>
    </w:p>
    <w:p w:rsidR="00104300" w:rsidRPr="005C473F" w:rsidRDefault="00104300" w:rsidP="005C473F">
      <w:pPr>
        <w:numPr>
          <w:ilvl w:val="0"/>
          <w:numId w:val="2"/>
        </w:numPr>
        <w:tabs>
          <w:tab w:val="clear" w:pos="4896"/>
        </w:tabs>
        <w:bidi w:val="0"/>
        <w:spacing w:after="0" w:line="360" w:lineRule="auto"/>
        <w:ind w:left="567" w:right="720" w:hanging="141"/>
        <w:rPr>
          <w:rFonts w:ascii="Times New Roman" w:hAnsi="Times New Roman" w:cs="Times New Roman"/>
          <w:b/>
          <w:sz w:val="28"/>
          <w:szCs w:val="28"/>
        </w:rPr>
      </w:pPr>
      <w:r w:rsidRPr="00977ECD">
        <w:rPr>
          <w:rFonts w:ascii="Times New Roman" w:hAnsi="Times New Roman" w:cs="Times New Roman"/>
          <w:b/>
          <w:sz w:val="28"/>
          <w:szCs w:val="28"/>
        </w:rPr>
        <w:t>BMI:</w:t>
      </w:r>
    </w:p>
    <w:tbl>
      <w:tblPr>
        <w:tblpPr w:leftFromText="180" w:rightFromText="180" w:vertAnchor="text" w:tblpX="534" w:tblpY="1"/>
        <w:tblOverlap w:val="never"/>
        <w:tblW w:w="0" w:type="auto"/>
        <w:tblLook w:val="00A0"/>
      </w:tblPr>
      <w:tblGrid>
        <w:gridCol w:w="1384"/>
        <w:gridCol w:w="1717"/>
      </w:tblGrid>
      <w:tr w:rsidR="00104300" w:rsidRPr="006A6B3F">
        <w:tc>
          <w:tcPr>
            <w:tcW w:w="1384" w:type="dxa"/>
            <w:vMerge w:val="restart"/>
          </w:tcPr>
          <w:p w:rsidR="00104300" w:rsidRPr="006A6B3F" w:rsidRDefault="00104300" w:rsidP="006A6B3F">
            <w:pPr>
              <w:bidi w:val="0"/>
              <w:spacing w:after="0" w:line="360" w:lineRule="auto"/>
              <w:jc w:val="both"/>
              <w:rPr>
                <w:rFonts w:ascii="Times New Roman" w:hAnsi="Times New Roman" w:cs="Arabic Transparent"/>
                <w:sz w:val="28"/>
                <w:szCs w:val="28"/>
                <w:lang w:val="en-CA"/>
              </w:rPr>
            </w:pPr>
            <w:r w:rsidRPr="006A6B3F">
              <w:rPr>
                <w:rFonts w:ascii="Times New Roman" w:hAnsi="Times New Roman" w:cs="Times New Roman"/>
                <w:sz w:val="28"/>
                <w:szCs w:val="28"/>
                <w:lang w:val="en-CA"/>
              </w:rPr>
              <w:t xml:space="preserve">    </w:t>
            </w:r>
            <w:r w:rsidRPr="006A6B3F">
              <w:rPr>
                <w:rFonts w:ascii="Times New Roman" w:hAnsi="Times New Roman" w:cs="Arabic Transparent"/>
                <w:sz w:val="28"/>
                <w:szCs w:val="28"/>
                <w:lang w:val="en-CA"/>
              </w:rPr>
              <w:t>BMI =</w:t>
            </w:r>
          </w:p>
        </w:tc>
        <w:tc>
          <w:tcPr>
            <w:tcW w:w="1717" w:type="dxa"/>
            <w:tcBorders>
              <w:bottom w:val="single" w:sz="4" w:space="0" w:color="auto"/>
            </w:tcBorders>
          </w:tcPr>
          <w:p w:rsidR="00104300" w:rsidRPr="006A6B3F" w:rsidRDefault="00104300" w:rsidP="006A6B3F">
            <w:pPr>
              <w:bidi w:val="0"/>
              <w:spacing w:after="0" w:line="360" w:lineRule="auto"/>
              <w:jc w:val="both"/>
              <w:rPr>
                <w:rFonts w:ascii="Times New Roman" w:hAnsi="Times New Roman" w:cs="Arabic Transparent"/>
                <w:sz w:val="28"/>
                <w:szCs w:val="28"/>
                <w:lang w:val="en-CA"/>
              </w:rPr>
            </w:pPr>
            <w:r w:rsidRPr="006A6B3F">
              <w:rPr>
                <w:rFonts w:ascii="Times New Roman" w:hAnsi="Times New Roman" w:cs="Arabic Transparent"/>
                <w:sz w:val="28"/>
                <w:szCs w:val="28"/>
                <w:lang w:val="en-CA"/>
              </w:rPr>
              <w:t>Weight (kg)</w:t>
            </w:r>
          </w:p>
        </w:tc>
      </w:tr>
      <w:tr w:rsidR="00104300" w:rsidRPr="006A6B3F">
        <w:tc>
          <w:tcPr>
            <w:tcW w:w="1384" w:type="dxa"/>
            <w:vMerge/>
          </w:tcPr>
          <w:p w:rsidR="00104300" w:rsidRPr="006A6B3F" w:rsidRDefault="00104300" w:rsidP="006A6B3F">
            <w:pPr>
              <w:bidi w:val="0"/>
              <w:spacing w:after="0" w:line="360" w:lineRule="auto"/>
              <w:jc w:val="both"/>
              <w:rPr>
                <w:rFonts w:ascii="Times New Roman" w:hAnsi="Times New Roman" w:cs="Arabic Transparent"/>
                <w:sz w:val="28"/>
                <w:szCs w:val="28"/>
                <w:lang w:val="en-CA"/>
              </w:rPr>
            </w:pPr>
          </w:p>
        </w:tc>
        <w:tc>
          <w:tcPr>
            <w:tcW w:w="1717" w:type="dxa"/>
            <w:tcBorders>
              <w:top w:val="single" w:sz="4" w:space="0" w:color="auto"/>
            </w:tcBorders>
          </w:tcPr>
          <w:p w:rsidR="00104300" w:rsidRPr="006A6B3F" w:rsidRDefault="00104300" w:rsidP="006A6B3F">
            <w:pPr>
              <w:bidi w:val="0"/>
              <w:spacing w:after="0" w:line="360" w:lineRule="auto"/>
              <w:jc w:val="both"/>
              <w:rPr>
                <w:rFonts w:ascii="Times New Roman" w:hAnsi="Times New Roman" w:cs="Arabic Transparent"/>
                <w:sz w:val="28"/>
                <w:szCs w:val="28"/>
                <w:lang w:val="en-CA"/>
              </w:rPr>
            </w:pPr>
            <w:r w:rsidRPr="006A6B3F">
              <w:rPr>
                <w:rFonts w:ascii="Times New Roman" w:hAnsi="Times New Roman" w:cs="Arabic Transparent"/>
                <w:sz w:val="28"/>
                <w:szCs w:val="28"/>
                <w:lang w:val="en-CA"/>
              </w:rPr>
              <w:t>Height (m</w:t>
            </w:r>
            <w:r w:rsidRPr="006A6B3F">
              <w:rPr>
                <w:rFonts w:ascii="Times New Roman" w:hAnsi="Times New Roman" w:cs="Arabic Transparent"/>
                <w:sz w:val="28"/>
                <w:szCs w:val="28"/>
                <w:vertAlign w:val="superscript"/>
                <w:lang w:val="en-CA"/>
              </w:rPr>
              <w:t>2</w:t>
            </w:r>
            <w:r w:rsidRPr="006A6B3F">
              <w:rPr>
                <w:rFonts w:ascii="Times New Roman" w:hAnsi="Times New Roman" w:cs="Arabic Transparent"/>
                <w:sz w:val="28"/>
                <w:szCs w:val="28"/>
                <w:lang w:val="en-CA"/>
              </w:rPr>
              <w:t>)</w:t>
            </w:r>
          </w:p>
        </w:tc>
      </w:tr>
    </w:tbl>
    <w:p w:rsidR="00104300" w:rsidRDefault="00104300" w:rsidP="005C473F">
      <w:pPr>
        <w:bidi w:val="0"/>
        <w:spacing w:after="0" w:line="360" w:lineRule="auto"/>
        <w:jc w:val="both"/>
        <w:rPr>
          <w:rFonts w:ascii="Times New Roman" w:hAnsi="Times New Roman" w:cs="Arabic Transparent"/>
          <w:sz w:val="28"/>
          <w:szCs w:val="28"/>
        </w:rPr>
      </w:pPr>
    </w:p>
    <w:p w:rsidR="00104300" w:rsidRPr="00977ECD" w:rsidRDefault="00104300" w:rsidP="005C473F">
      <w:pPr>
        <w:bidi w:val="0"/>
        <w:spacing w:after="0" w:line="360" w:lineRule="auto"/>
        <w:jc w:val="both"/>
        <w:rPr>
          <w:rFonts w:ascii="Times New Roman" w:hAnsi="Times New Roman" w:cs="Arabic Transparent"/>
          <w:sz w:val="28"/>
          <w:szCs w:val="28"/>
          <w:rtl/>
        </w:rPr>
      </w:pPr>
      <w:r w:rsidRPr="00977ECD">
        <w:rPr>
          <w:rFonts w:ascii="Times New Roman" w:hAnsi="Times New Roman" w:cs="Arabic Transparent"/>
          <w:sz w:val="28"/>
          <w:szCs w:val="28"/>
        </w:rPr>
        <w:t xml:space="preserve">          </w:t>
      </w:r>
    </w:p>
    <w:p w:rsidR="00104300" w:rsidRDefault="00104300" w:rsidP="005C473F">
      <w:pPr>
        <w:bidi w:val="0"/>
        <w:spacing w:after="0" w:line="360" w:lineRule="auto"/>
        <w:jc w:val="both"/>
        <w:rPr>
          <w:rFonts w:ascii="Times New Roman" w:hAnsi="Times New Roman" w:cs="Arabic Transparent"/>
          <w:sz w:val="28"/>
          <w:szCs w:val="28"/>
        </w:rPr>
      </w:pPr>
    </w:p>
    <w:p w:rsidR="00104300" w:rsidRPr="00977ECD" w:rsidRDefault="00104300" w:rsidP="005C473F">
      <w:pPr>
        <w:bidi w:val="0"/>
        <w:spacing w:after="0" w:line="360" w:lineRule="auto"/>
        <w:ind w:left="720"/>
        <w:jc w:val="both"/>
        <w:rPr>
          <w:rFonts w:ascii="Times New Roman" w:hAnsi="Times New Roman" w:cs="Times New Roman"/>
          <w:b/>
          <w:bCs/>
          <w:sz w:val="28"/>
          <w:szCs w:val="28"/>
        </w:rPr>
      </w:pPr>
      <w:r w:rsidRPr="00977ECD">
        <w:rPr>
          <w:rFonts w:ascii="Times New Roman" w:hAnsi="Times New Roman" w:cs="Arabic Transparent"/>
          <w:sz w:val="28"/>
          <w:szCs w:val="28"/>
        </w:rPr>
        <w:t xml:space="preserve">BMI will be evaluated according to the Egyptian </w:t>
      </w:r>
      <w:r w:rsidRPr="00977ECD">
        <w:rPr>
          <w:rFonts w:ascii="Times New Roman" w:hAnsi="Times New Roman" w:cs="Times New Roman"/>
          <w:sz w:val="28"/>
          <w:szCs w:val="28"/>
        </w:rPr>
        <w:t xml:space="preserve">Growth Charts </w:t>
      </w:r>
      <w:r w:rsidRPr="00977ECD">
        <w:rPr>
          <w:rFonts w:ascii="Times New Roman" w:hAnsi="Times New Roman" w:cs="Times New Roman"/>
          <w:b/>
          <w:bCs/>
          <w:sz w:val="28"/>
          <w:szCs w:val="28"/>
        </w:rPr>
        <w:t>(Ghali, 2008).</w:t>
      </w:r>
    </w:p>
    <w:p w:rsidR="00104300" w:rsidRPr="00977ECD" w:rsidRDefault="00104300" w:rsidP="005C473F">
      <w:pPr>
        <w:bidi w:val="0"/>
        <w:spacing w:after="0" w:line="360" w:lineRule="auto"/>
        <w:ind w:left="720"/>
        <w:jc w:val="both"/>
        <w:rPr>
          <w:rFonts w:ascii="Times New Roman" w:hAnsi="Times New Roman" w:cs="Times New Roman"/>
          <w:sz w:val="28"/>
          <w:szCs w:val="28"/>
        </w:rPr>
      </w:pPr>
      <w:r w:rsidRPr="00977ECD">
        <w:rPr>
          <w:rFonts w:ascii="Times New Roman" w:hAnsi="Times New Roman" w:cs="Times New Roman"/>
          <w:sz w:val="28"/>
          <w:szCs w:val="28"/>
        </w:rPr>
        <w:t>Obesity will be considered when BMI exceeds 95</w:t>
      </w:r>
      <w:r w:rsidRPr="00977ECD">
        <w:rPr>
          <w:rFonts w:ascii="Times New Roman" w:hAnsi="Times New Roman" w:cs="Times New Roman"/>
          <w:sz w:val="28"/>
          <w:szCs w:val="28"/>
          <w:vertAlign w:val="superscript"/>
        </w:rPr>
        <w:t>th</w:t>
      </w:r>
      <w:r w:rsidRPr="00977ECD">
        <w:rPr>
          <w:rFonts w:ascii="Times New Roman" w:hAnsi="Times New Roman" w:cs="Times New Roman"/>
          <w:sz w:val="28"/>
          <w:szCs w:val="28"/>
        </w:rPr>
        <w:t xml:space="preserve"> percentile (</w:t>
      </w:r>
      <w:r w:rsidRPr="00977ECD">
        <w:rPr>
          <w:rFonts w:ascii="Times New Roman" w:hAnsi="Times New Roman" w:cs="Times New Roman"/>
          <w:b/>
          <w:bCs/>
          <w:sz w:val="28"/>
          <w:szCs w:val="28"/>
        </w:rPr>
        <w:t>Schwarz and Freemark, 2010).</w:t>
      </w:r>
    </w:p>
    <w:p w:rsidR="00104300" w:rsidRPr="00977ECD" w:rsidRDefault="00104300" w:rsidP="005C473F">
      <w:pPr>
        <w:numPr>
          <w:ilvl w:val="0"/>
          <w:numId w:val="2"/>
        </w:numPr>
        <w:tabs>
          <w:tab w:val="clear" w:pos="4896"/>
        </w:tabs>
        <w:bidi w:val="0"/>
        <w:spacing w:after="0" w:line="360" w:lineRule="auto"/>
        <w:ind w:left="567" w:right="720" w:hanging="141"/>
        <w:rPr>
          <w:rFonts w:ascii="Times New Roman" w:hAnsi="Times New Roman" w:cs="Times New Roman"/>
          <w:sz w:val="28"/>
          <w:szCs w:val="28"/>
        </w:rPr>
      </w:pPr>
      <w:r w:rsidRPr="005C473F">
        <w:rPr>
          <w:rFonts w:ascii="Times New Roman" w:hAnsi="Times New Roman" w:cs="Times New Roman"/>
          <w:b/>
          <w:sz w:val="28"/>
          <w:szCs w:val="28"/>
        </w:rPr>
        <w:t>Waist</w:t>
      </w:r>
      <w:r w:rsidRPr="00977ECD">
        <w:rPr>
          <w:rFonts w:ascii="Times New Roman" w:hAnsi="Times New Roman" w:cs="Times New Roman"/>
          <w:b/>
          <w:bCs/>
          <w:sz w:val="28"/>
          <w:szCs w:val="28"/>
        </w:rPr>
        <w:t xml:space="preserve"> circumference</w:t>
      </w:r>
      <w:r w:rsidRPr="00977ECD">
        <w:rPr>
          <w:rFonts w:ascii="Times New Roman" w:hAnsi="Times New Roman" w:cs="Times New Roman"/>
          <w:sz w:val="28"/>
          <w:szCs w:val="28"/>
        </w:rPr>
        <w:t xml:space="preserve">: </w:t>
      </w:r>
    </w:p>
    <w:p w:rsidR="00104300" w:rsidRPr="00977ECD" w:rsidRDefault="00104300" w:rsidP="005C473F">
      <w:pPr>
        <w:bidi w:val="0"/>
        <w:spacing w:after="0" w:line="360" w:lineRule="auto"/>
        <w:ind w:left="426"/>
        <w:jc w:val="both"/>
        <w:rPr>
          <w:rFonts w:ascii="Times New Roman" w:hAnsi="Times New Roman" w:cs="Times New Roman"/>
          <w:sz w:val="28"/>
          <w:szCs w:val="28"/>
        </w:rPr>
      </w:pPr>
      <w:r w:rsidRPr="00977ECD">
        <w:rPr>
          <w:rFonts w:ascii="Times New Roman" w:hAnsi="Times New Roman" w:cs="Times New Roman"/>
          <w:sz w:val="28"/>
          <w:szCs w:val="28"/>
        </w:rPr>
        <w:t xml:space="preserve">Will be evaluated according to waist circumference percentile curves for British children (which are used for the Egyptian children) </w:t>
      </w:r>
      <w:r w:rsidRPr="00977ECD">
        <w:rPr>
          <w:rFonts w:ascii="Times New Roman" w:hAnsi="Times New Roman" w:cs="Times New Roman"/>
          <w:b/>
          <w:sz w:val="28"/>
          <w:szCs w:val="28"/>
        </w:rPr>
        <w:t>(Hassan et al, 2008).</w:t>
      </w:r>
    </w:p>
    <w:p w:rsidR="00104300" w:rsidRPr="00AB4079" w:rsidRDefault="00104300" w:rsidP="005C473F">
      <w:pPr>
        <w:numPr>
          <w:ilvl w:val="0"/>
          <w:numId w:val="2"/>
        </w:numPr>
        <w:tabs>
          <w:tab w:val="clear" w:pos="4896"/>
        </w:tabs>
        <w:bidi w:val="0"/>
        <w:spacing w:after="0" w:line="360" w:lineRule="auto"/>
        <w:ind w:left="567" w:right="720" w:hanging="141"/>
        <w:rPr>
          <w:rFonts w:ascii="Times New Roman" w:hAnsi="Times New Roman" w:cs="Times New Roman"/>
          <w:sz w:val="28"/>
          <w:szCs w:val="28"/>
        </w:rPr>
      </w:pPr>
      <w:r w:rsidRPr="005C473F">
        <w:rPr>
          <w:rFonts w:ascii="Times New Roman" w:hAnsi="Times New Roman" w:cs="Times New Roman"/>
          <w:b/>
          <w:sz w:val="28"/>
          <w:szCs w:val="28"/>
        </w:rPr>
        <w:t>Hip</w:t>
      </w:r>
      <w:r w:rsidRPr="00977ECD">
        <w:rPr>
          <w:rFonts w:ascii="Times New Roman" w:hAnsi="Times New Roman" w:cs="Times New Roman"/>
          <w:b/>
          <w:bCs/>
          <w:sz w:val="28"/>
          <w:szCs w:val="28"/>
        </w:rPr>
        <w:t xml:space="preserve"> circumference</w:t>
      </w:r>
      <w:r w:rsidRPr="00977ECD">
        <w:rPr>
          <w:rFonts w:ascii="Times New Roman" w:hAnsi="Times New Roman" w:cs="Times New Roman"/>
          <w:sz w:val="28"/>
          <w:szCs w:val="28"/>
        </w:rPr>
        <w:t>.</w:t>
      </w:r>
    </w:p>
    <w:p w:rsidR="00104300" w:rsidRPr="00977ECD" w:rsidRDefault="00104300" w:rsidP="005C473F">
      <w:pPr>
        <w:numPr>
          <w:ilvl w:val="0"/>
          <w:numId w:val="2"/>
        </w:numPr>
        <w:tabs>
          <w:tab w:val="clear" w:pos="4896"/>
        </w:tabs>
        <w:bidi w:val="0"/>
        <w:spacing w:after="0" w:line="360" w:lineRule="auto"/>
        <w:ind w:left="567" w:right="720" w:hanging="141"/>
        <w:rPr>
          <w:rFonts w:ascii="Times New Roman" w:hAnsi="Times New Roman" w:cs="Times New Roman"/>
          <w:sz w:val="28"/>
          <w:szCs w:val="28"/>
        </w:rPr>
      </w:pPr>
      <w:r w:rsidRPr="00977ECD">
        <w:rPr>
          <w:rFonts w:ascii="Times New Roman" w:hAnsi="Times New Roman" w:cs="Times New Roman"/>
          <w:b/>
          <w:bCs/>
          <w:sz w:val="28"/>
          <w:szCs w:val="28"/>
        </w:rPr>
        <w:t xml:space="preserve">Waist- hip ratio: </w:t>
      </w:r>
      <w:r w:rsidRPr="00977ECD">
        <w:rPr>
          <w:rFonts w:ascii="Times New Roman" w:hAnsi="Times New Roman" w:cs="Times New Roman"/>
          <w:sz w:val="28"/>
          <w:szCs w:val="28"/>
        </w:rPr>
        <w:t>will be calculated by dividing waist circumference / hip circumference.</w:t>
      </w:r>
    </w:p>
    <w:p w:rsidR="00104300" w:rsidRPr="00AB4079" w:rsidRDefault="00104300" w:rsidP="005C473F">
      <w:pPr>
        <w:bidi w:val="0"/>
        <w:spacing w:after="0" w:line="360" w:lineRule="auto"/>
        <w:jc w:val="both"/>
        <w:rPr>
          <w:rFonts w:ascii="Times New Roman" w:hAnsi="Times New Roman" w:cs="Times New Roman"/>
          <w:b/>
          <w:bCs/>
          <w:sz w:val="28"/>
          <w:szCs w:val="28"/>
          <w:u w:val="single"/>
        </w:rPr>
      </w:pPr>
      <w:r w:rsidRPr="00977ECD">
        <w:rPr>
          <w:rFonts w:ascii="Times New Roman" w:hAnsi="Times New Roman" w:cs="Times New Roman"/>
          <w:b/>
          <w:bCs/>
          <w:sz w:val="28"/>
          <w:szCs w:val="28"/>
          <w:u w:val="single"/>
        </w:rPr>
        <w:t>IV-Laboratory Investigations:</w:t>
      </w:r>
    </w:p>
    <w:p w:rsidR="00104300" w:rsidRPr="00977ECD" w:rsidRDefault="00104300" w:rsidP="005C473F">
      <w:pPr>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7ECD">
        <w:rPr>
          <w:rFonts w:ascii="Times New Roman" w:hAnsi="Times New Roman" w:cs="Times New Roman"/>
          <w:sz w:val="28"/>
          <w:szCs w:val="28"/>
        </w:rPr>
        <w:t xml:space="preserve">One fasting blood sample will be collected in the first visit; (5 cc venous blood samples). Samples will be collected in plain vacutainers and subsequently, serum will be separated and stored at -20 </w:t>
      </w:r>
      <w:r w:rsidRPr="00977ECD">
        <w:rPr>
          <w:rFonts w:ascii="Times New Roman" w:hAnsi="Times New Roman" w:cs="Times New Roman"/>
          <w:sz w:val="28"/>
          <w:szCs w:val="28"/>
          <w:vertAlign w:val="superscript"/>
        </w:rPr>
        <w:t>o</w:t>
      </w:r>
      <w:r w:rsidRPr="00977ECD">
        <w:rPr>
          <w:rFonts w:ascii="Times New Roman" w:hAnsi="Times New Roman" w:cs="Times New Roman"/>
          <w:sz w:val="28"/>
          <w:szCs w:val="28"/>
        </w:rPr>
        <w:t>C until assay will be performed. Urine is collected in a sterile container, centrifugation for 20 minutes at the speed of 2000-3000 r.p.m., remove supernatant. If precipitation appeared, centrifugal again. The assay includes:</w:t>
      </w:r>
    </w:p>
    <w:p w:rsidR="00104300" w:rsidRPr="00AB4079" w:rsidRDefault="00104300" w:rsidP="005C473F">
      <w:pPr>
        <w:numPr>
          <w:ilvl w:val="1"/>
          <w:numId w:val="3"/>
        </w:numPr>
        <w:tabs>
          <w:tab w:val="num" w:pos="1110"/>
        </w:tabs>
        <w:bidi w:val="0"/>
        <w:spacing w:after="0" w:line="360" w:lineRule="auto"/>
        <w:ind w:left="1110" w:right="1080" w:hanging="390"/>
        <w:jc w:val="both"/>
        <w:rPr>
          <w:rFonts w:ascii="Times New Roman" w:hAnsi="Times New Roman" w:cs="Times New Roman"/>
          <w:sz w:val="28"/>
          <w:szCs w:val="28"/>
        </w:rPr>
      </w:pPr>
      <w:r w:rsidRPr="00977ECD">
        <w:rPr>
          <w:rFonts w:ascii="Times New Roman" w:hAnsi="Times New Roman" w:cs="Times New Roman"/>
          <w:sz w:val="28"/>
          <w:szCs w:val="28"/>
        </w:rPr>
        <w:t xml:space="preserve">Serum Osteocalcin (As bone formation marker).       </w:t>
      </w:r>
    </w:p>
    <w:p w:rsidR="00104300" w:rsidRDefault="00104300" w:rsidP="005C473F">
      <w:pPr>
        <w:bidi w:val="0"/>
        <w:spacing w:after="0" w:line="360" w:lineRule="auto"/>
        <w:jc w:val="both"/>
        <w:rPr>
          <w:rFonts w:ascii="Times New Roman" w:hAnsi="Times New Roman" w:cs="Times New Roman"/>
          <w:b/>
          <w:bCs/>
          <w:sz w:val="32"/>
          <w:szCs w:val="32"/>
        </w:rPr>
      </w:pPr>
      <w:r w:rsidRPr="00977ECD">
        <w:rPr>
          <w:rFonts w:ascii="Times New Roman" w:hAnsi="Times New Roman" w:cs="Times New Roman"/>
          <w:sz w:val="28"/>
          <w:szCs w:val="28"/>
        </w:rPr>
        <w:t xml:space="preserve">          2- Urinary deoxypyridinoline (DPD) (As bone resorption marker). </w:t>
      </w:r>
    </w:p>
    <w:p w:rsidR="00104300" w:rsidRPr="00977ECD" w:rsidRDefault="00104300" w:rsidP="005C473F">
      <w:pPr>
        <w:bidi w:val="0"/>
        <w:spacing w:after="0" w:line="360" w:lineRule="auto"/>
        <w:jc w:val="both"/>
        <w:rPr>
          <w:rFonts w:ascii="Times New Roman" w:hAnsi="Times New Roman" w:cs="Times New Roman"/>
          <w:b/>
          <w:bCs/>
          <w:sz w:val="32"/>
          <w:szCs w:val="32"/>
        </w:rPr>
      </w:pPr>
      <w:r w:rsidRPr="00977ECD">
        <w:rPr>
          <w:rFonts w:ascii="Times New Roman" w:hAnsi="Times New Roman" w:cs="Times New Roman"/>
          <w:b/>
          <w:bCs/>
          <w:sz w:val="32"/>
          <w:szCs w:val="32"/>
        </w:rPr>
        <w:t>Results:</w:t>
      </w:r>
    </w:p>
    <w:p w:rsidR="00104300" w:rsidRPr="00AB4079" w:rsidRDefault="00104300" w:rsidP="005C473F">
      <w:pPr>
        <w:bidi w:val="0"/>
        <w:spacing w:after="0" w:line="360" w:lineRule="auto"/>
        <w:jc w:val="both"/>
        <w:outlineLvl w:val="0"/>
        <w:rPr>
          <w:rFonts w:ascii="Times New Roman" w:hAnsi="Times New Roman" w:cs="Times New Roman"/>
          <w:sz w:val="28"/>
          <w:szCs w:val="28"/>
        </w:rPr>
      </w:pPr>
      <w:r w:rsidRPr="00977ECD">
        <w:rPr>
          <w:rFonts w:ascii="Times New Roman" w:hAnsi="Times New Roman" w:cs="Times New Roman"/>
          <w:sz w:val="28"/>
          <w:szCs w:val="28"/>
        </w:rPr>
        <w:t xml:space="preserve">    As regards the distribution of children according to sex in our sample males were more than females in controls, cases and total number, where they were (32 males and 8 females) in controls, (26 males and 14 females) in cases and (58 males and 22 females) in the total number.</w:t>
      </w:r>
    </w:p>
    <w:p w:rsidR="00104300" w:rsidRPr="00AE1AED" w:rsidRDefault="00104300" w:rsidP="005C473F">
      <w:pPr>
        <w:spacing w:after="0" w:line="360" w:lineRule="auto"/>
        <w:jc w:val="center"/>
        <w:outlineLvl w:val="0"/>
        <w:rPr>
          <w:rFonts w:ascii="Times New Roman" w:hAnsi="Times New Roman" w:cs="Times New Roman"/>
          <w:b/>
          <w:bCs/>
          <w:sz w:val="32"/>
          <w:szCs w:val="32"/>
        </w:rPr>
      </w:pPr>
      <w:r w:rsidRPr="00AE1AED">
        <w:rPr>
          <w:rFonts w:ascii="Times New Roman" w:hAnsi="Times New Roman" w:cs="Times New Roman"/>
          <w:b/>
          <w:bCs/>
          <w:sz w:val="32"/>
          <w:szCs w:val="32"/>
        </w:rPr>
        <w:t>Table (1): Distribution of the studied sample according to sex.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9"/>
        <w:gridCol w:w="837"/>
        <w:gridCol w:w="837"/>
        <w:gridCol w:w="837"/>
        <w:gridCol w:w="837"/>
        <w:gridCol w:w="837"/>
        <w:gridCol w:w="837"/>
      </w:tblGrid>
      <w:tr w:rsidR="00104300" w:rsidRPr="006A6B3F">
        <w:trPr>
          <w:trHeight w:val="244"/>
          <w:jc w:val="center"/>
        </w:trPr>
        <w:tc>
          <w:tcPr>
            <w:tcW w:w="1309" w:type="dxa"/>
            <w:vMerge w:val="restart"/>
            <w:tcBorders>
              <w:tl2br w:val="single" w:sz="4" w:space="0" w:color="auto"/>
            </w:tcBorders>
          </w:tcPr>
          <w:p w:rsidR="00104300" w:rsidRPr="006A6B3F" w:rsidRDefault="00104300" w:rsidP="006A6B3F">
            <w:pPr>
              <w:spacing w:after="0" w:line="360" w:lineRule="auto"/>
              <w:rPr>
                <w:rFonts w:ascii="Times New Roman" w:hAnsi="Times New Roman" w:cs="Times New Roman"/>
                <w:sz w:val="24"/>
                <w:szCs w:val="24"/>
              </w:rPr>
            </w:pPr>
            <w:r w:rsidRPr="006A6B3F">
              <w:rPr>
                <w:rFonts w:ascii="Times New Roman" w:hAnsi="Times New Roman" w:cs="Times New Roman"/>
                <w:sz w:val="24"/>
                <w:szCs w:val="24"/>
              </w:rPr>
              <w:t>group</w:t>
            </w:r>
          </w:p>
          <w:p w:rsidR="00104300" w:rsidRPr="006A6B3F" w:rsidRDefault="00104300" w:rsidP="006A6B3F">
            <w:pPr>
              <w:spacing w:after="0" w:line="360" w:lineRule="auto"/>
              <w:jc w:val="right"/>
              <w:rPr>
                <w:rFonts w:ascii="Times New Roman" w:hAnsi="Times New Roman" w:cs="Times New Roman"/>
                <w:sz w:val="24"/>
                <w:szCs w:val="24"/>
              </w:rPr>
            </w:pPr>
            <w:r w:rsidRPr="006A6B3F">
              <w:rPr>
                <w:rFonts w:ascii="Times New Roman" w:hAnsi="Times New Roman" w:cs="Times New Roman"/>
                <w:sz w:val="24"/>
                <w:szCs w:val="24"/>
              </w:rPr>
              <w:t>Sex</w:t>
            </w:r>
          </w:p>
        </w:tc>
        <w:tc>
          <w:tcPr>
            <w:tcW w:w="1674" w:type="dxa"/>
            <w:gridSpan w:val="2"/>
            <w:vAlign w:val="center"/>
          </w:tcPr>
          <w:p w:rsidR="00104300" w:rsidRPr="006A6B3F" w:rsidRDefault="00104300" w:rsidP="006A6B3F">
            <w:pPr>
              <w:tabs>
                <w:tab w:val="left" w:pos="459"/>
              </w:tabs>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Case</w:t>
            </w:r>
          </w:p>
        </w:tc>
        <w:tc>
          <w:tcPr>
            <w:tcW w:w="1674" w:type="dxa"/>
            <w:gridSpan w:val="2"/>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Control</w:t>
            </w:r>
          </w:p>
        </w:tc>
        <w:tc>
          <w:tcPr>
            <w:tcW w:w="1674" w:type="dxa"/>
            <w:gridSpan w:val="2"/>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Total</w:t>
            </w:r>
          </w:p>
        </w:tc>
      </w:tr>
      <w:tr w:rsidR="00104300" w:rsidRPr="006A6B3F">
        <w:trPr>
          <w:trHeight w:val="186"/>
          <w:jc w:val="center"/>
        </w:trPr>
        <w:tc>
          <w:tcPr>
            <w:tcW w:w="1309" w:type="dxa"/>
            <w:vMerge/>
            <w:tcBorders>
              <w:tl2br w:val="single" w:sz="4" w:space="0" w:color="auto"/>
            </w:tcBorders>
          </w:tcPr>
          <w:p w:rsidR="00104300" w:rsidRPr="006A6B3F" w:rsidRDefault="00104300" w:rsidP="006A6B3F">
            <w:pPr>
              <w:spacing w:after="0" w:line="360" w:lineRule="auto"/>
              <w:rPr>
                <w:rFonts w:ascii="Times New Roman" w:hAnsi="Times New Roman" w:cs="Times New Roman"/>
                <w:sz w:val="24"/>
                <w:szCs w:val="24"/>
              </w:rPr>
            </w:pP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N</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N</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N</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w:t>
            </w:r>
          </w:p>
        </w:tc>
      </w:tr>
      <w:tr w:rsidR="00104300" w:rsidRPr="006A6B3F">
        <w:trPr>
          <w:trHeight w:val="229"/>
          <w:jc w:val="center"/>
        </w:trPr>
        <w:tc>
          <w:tcPr>
            <w:tcW w:w="1309" w:type="dxa"/>
          </w:tcPr>
          <w:p w:rsidR="00104300" w:rsidRPr="006A6B3F" w:rsidRDefault="00104300" w:rsidP="006A6B3F">
            <w:pPr>
              <w:spacing w:after="0" w:line="360" w:lineRule="auto"/>
              <w:rPr>
                <w:rFonts w:ascii="Times New Roman" w:hAnsi="Times New Roman" w:cs="Times New Roman"/>
                <w:sz w:val="24"/>
                <w:szCs w:val="24"/>
              </w:rPr>
            </w:pPr>
            <w:r w:rsidRPr="006A6B3F">
              <w:rPr>
                <w:rFonts w:ascii="Times New Roman" w:hAnsi="Times New Roman" w:cs="Times New Roman"/>
                <w:sz w:val="24"/>
                <w:szCs w:val="24"/>
              </w:rPr>
              <w:t>Male</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26</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32.5</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32</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40.0</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58</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72.5</w:t>
            </w:r>
          </w:p>
        </w:tc>
      </w:tr>
      <w:tr w:rsidR="00104300" w:rsidRPr="006A6B3F">
        <w:trPr>
          <w:trHeight w:val="258"/>
          <w:jc w:val="center"/>
        </w:trPr>
        <w:tc>
          <w:tcPr>
            <w:tcW w:w="1309" w:type="dxa"/>
          </w:tcPr>
          <w:p w:rsidR="00104300" w:rsidRPr="006A6B3F" w:rsidRDefault="00104300" w:rsidP="006A6B3F">
            <w:pPr>
              <w:spacing w:after="0" w:line="360" w:lineRule="auto"/>
              <w:rPr>
                <w:rFonts w:ascii="Times New Roman" w:hAnsi="Times New Roman" w:cs="Times New Roman"/>
                <w:sz w:val="24"/>
                <w:szCs w:val="24"/>
              </w:rPr>
            </w:pPr>
            <w:r w:rsidRPr="006A6B3F">
              <w:rPr>
                <w:rFonts w:ascii="Times New Roman" w:hAnsi="Times New Roman" w:cs="Times New Roman"/>
                <w:sz w:val="24"/>
                <w:szCs w:val="24"/>
              </w:rPr>
              <w:t>Female</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14</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17.5</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8</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10.0</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22</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27.5</w:t>
            </w:r>
          </w:p>
        </w:tc>
      </w:tr>
      <w:tr w:rsidR="00104300" w:rsidRPr="006A6B3F">
        <w:trPr>
          <w:trHeight w:val="258"/>
          <w:jc w:val="center"/>
        </w:trPr>
        <w:tc>
          <w:tcPr>
            <w:tcW w:w="1309" w:type="dxa"/>
          </w:tcPr>
          <w:p w:rsidR="00104300" w:rsidRPr="006A6B3F" w:rsidRDefault="00104300" w:rsidP="006A6B3F">
            <w:pPr>
              <w:spacing w:after="0" w:line="360" w:lineRule="auto"/>
              <w:rPr>
                <w:rFonts w:ascii="Times New Roman" w:hAnsi="Times New Roman" w:cs="Times New Roman"/>
                <w:sz w:val="24"/>
                <w:szCs w:val="24"/>
              </w:rPr>
            </w:pPr>
            <w:r w:rsidRPr="006A6B3F">
              <w:rPr>
                <w:rFonts w:ascii="Times New Roman" w:hAnsi="Times New Roman" w:cs="Times New Roman"/>
                <w:sz w:val="24"/>
                <w:szCs w:val="24"/>
              </w:rPr>
              <w:t>Total</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40</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50.0</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40</w:t>
            </w:r>
          </w:p>
        </w:tc>
        <w:tc>
          <w:tcPr>
            <w:tcW w:w="837" w:type="dxa"/>
            <w:vAlign w:val="center"/>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50.0</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80</w:t>
            </w:r>
          </w:p>
        </w:tc>
        <w:tc>
          <w:tcPr>
            <w:tcW w:w="837" w:type="dxa"/>
          </w:tcPr>
          <w:p w:rsidR="00104300" w:rsidRPr="006A6B3F" w:rsidRDefault="00104300" w:rsidP="006A6B3F">
            <w:pPr>
              <w:spacing w:after="0" w:line="360" w:lineRule="auto"/>
              <w:jc w:val="center"/>
              <w:rPr>
                <w:rFonts w:ascii="Times New Roman" w:hAnsi="Times New Roman" w:cs="Times New Roman"/>
                <w:sz w:val="24"/>
                <w:szCs w:val="24"/>
              </w:rPr>
            </w:pPr>
            <w:r w:rsidRPr="006A6B3F">
              <w:rPr>
                <w:rFonts w:ascii="Times New Roman" w:hAnsi="Times New Roman" w:cs="Times New Roman"/>
                <w:sz w:val="24"/>
                <w:szCs w:val="24"/>
              </w:rPr>
              <w:t>100</w:t>
            </w:r>
          </w:p>
        </w:tc>
      </w:tr>
    </w:tbl>
    <w:p w:rsidR="00104300" w:rsidRDefault="00104300" w:rsidP="005C473F">
      <w:pPr>
        <w:spacing w:after="0" w:line="360" w:lineRule="auto"/>
        <w:jc w:val="right"/>
        <w:rPr>
          <w:rFonts w:ascii="Times New Roman" w:hAnsi="Times New Roman" w:cs="Times New Roman"/>
          <w:b/>
          <w:bCs/>
          <w:sz w:val="32"/>
          <w:szCs w:val="32"/>
          <w:rtl/>
        </w:rPr>
      </w:pPr>
    </w:p>
    <w:p w:rsidR="00104300" w:rsidRDefault="00104300" w:rsidP="005C473F">
      <w:pPr>
        <w:spacing w:after="0" w:line="360" w:lineRule="auto"/>
        <w:jc w:val="center"/>
      </w:pPr>
      <w:r w:rsidRPr="00A74230">
        <w:rPr>
          <w:noProof/>
        </w:rPr>
        <w:object w:dxaOrig="8420" w:dyaOrig="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i1025" type="#_x0000_t75" style="width:420.75pt;height:252.75pt;visibility:visible" o:ole="">
            <v:imagedata r:id="rId7" o:title=""/>
            <o:lock v:ext="edit" aspectratio="f"/>
          </v:shape>
          <o:OLEObject Type="Embed" ProgID="Excel.Chart.8" ShapeID="Chart 3" DrawAspect="Content" ObjectID="_1461923644" r:id="rId8"/>
        </w:object>
      </w:r>
    </w:p>
    <w:p w:rsidR="00104300" w:rsidRPr="00AA6277" w:rsidRDefault="00104300" w:rsidP="005C473F">
      <w:pPr>
        <w:spacing w:after="0" w:line="360" w:lineRule="auto"/>
        <w:jc w:val="center"/>
        <w:outlineLvl w:val="0"/>
        <w:rPr>
          <w:rFonts w:ascii="Times New Roman" w:hAnsi="Times New Roman" w:cs="Times New Roman"/>
          <w:b/>
          <w:bCs/>
          <w:sz w:val="24"/>
          <w:szCs w:val="24"/>
        </w:rPr>
      </w:pPr>
      <w:r>
        <w:rPr>
          <w:rFonts w:ascii="Times New Roman" w:hAnsi="Times New Roman" w:cs="Times New Roman"/>
          <w:b/>
          <w:bCs/>
          <w:sz w:val="32"/>
          <w:szCs w:val="32"/>
        </w:rPr>
        <w:tab/>
      </w:r>
      <w:r w:rsidRPr="00AA6277">
        <w:rPr>
          <w:rFonts w:ascii="Times New Roman" w:hAnsi="Times New Roman" w:cs="Times New Roman"/>
          <w:b/>
          <w:bCs/>
          <w:sz w:val="24"/>
          <w:szCs w:val="24"/>
        </w:rPr>
        <w:t xml:space="preserve">Figure (1):  Distribution of the studied sample according to sex. </w:t>
      </w:r>
    </w:p>
    <w:p w:rsidR="00104300" w:rsidRDefault="00104300" w:rsidP="005C473F">
      <w:pPr>
        <w:spacing w:after="0" w:line="360" w:lineRule="auto"/>
        <w:outlineLvl w:val="0"/>
        <w:rPr>
          <w:b/>
          <w:bCs/>
          <w:sz w:val="24"/>
          <w:szCs w:val="24"/>
        </w:rPr>
      </w:pPr>
    </w:p>
    <w:p w:rsidR="00104300" w:rsidRDefault="00104300" w:rsidP="005C473F">
      <w:pPr>
        <w:bidi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013AA5">
        <w:rPr>
          <w:rFonts w:ascii="Times New Roman" w:hAnsi="Times New Roman" w:cs="Times New Roman"/>
          <w:sz w:val="28"/>
          <w:szCs w:val="28"/>
        </w:rPr>
        <w:t>Also, we studied the distribution of the sample according to family history of obesity where we found that family history is negative in 42.5% of controls, while it was positively related in 37.5% of cases. So, we can say that there is genetic predisposition of obesity.</w:t>
      </w:r>
    </w:p>
    <w:p w:rsidR="00104300" w:rsidRPr="00AA6277" w:rsidRDefault="00104300" w:rsidP="005C473F">
      <w:pPr>
        <w:bidi w:val="0"/>
        <w:spacing w:after="0" w:line="360" w:lineRule="auto"/>
        <w:jc w:val="both"/>
        <w:outlineLvl w:val="0"/>
        <w:rPr>
          <w:rFonts w:ascii="Times New Roman" w:hAnsi="Times New Roman" w:cs="Times New Roman"/>
          <w:b/>
          <w:bCs/>
          <w:sz w:val="24"/>
          <w:szCs w:val="24"/>
          <w:rtl/>
        </w:rPr>
      </w:pPr>
      <w:r w:rsidRPr="00AA6277">
        <w:rPr>
          <w:rFonts w:ascii="Times New Roman" w:hAnsi="Times New Roman" w:cs="Times New Roman"/>
          <w:b/>
          <w:bCs/>
          <w:sz w:val="24"/>
          <w:szCs w:val="24"/>
        </w:rPr>
        <w:t>Table (2): Distribution of the studied sample according to family history of obesity.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9"/>
        <w:gridCol w:w="837"/>
        <w:gridCol w:w="837"/>
        <w:gridCol w:w="837"/>
        <w:gridCol w:w="837"/>
        <w:gridCol w:w="837"/>
        <w:gridCol w:w="837"/>
        <w:gridCol w:w="837"/>
        <w:gridCol w:w="837"/>
      </w:tblGrid>
      <w:tr w:rsidR="00104300" w:rsidRPr="006A6B3F">
        <w:trPr>
          <w:trHeight w:val="244"/>
          <w:jc w:val="center"/>
        </w:trPr>
        <w:tc>
          <w:tcPr>
            <w:tcW w:w="1309" w:type="dxa"/>
            <w:vMerge w:val="restart"/>
            <w:tcBorders>
              <w:tl2br w:val="single" w:sz="4" w:space="0" w:color="auto"/>
            </w:tcBorders>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group</w:t>
            </w:r>
          </w:p>
          <w:p w:rsidR="00104300" w:rsidRPr="006A6B3F" w:rsidRDefault="00104300" w:rsidP="006A6B3F">
            <w:pPr>
              <w:bidi w:val="0"/>
              <w:spacing w:after="0" w:line="360" w:lineRule="auto"/>
              <w:jc w:val="both"/>
              <w:rPr>
                <w:rFonts w:ascii="Times New Roman" w:hAnsi="Times New Roman" w:cs="Times New Roman"/>
                <w:sz w:val="24"/>
                <w:szCs w:val="24"/>
              </w:rPr>
            </w:pPr>
          </w:p>
        </w:tc>
        <w:tc>
          <w:tcPr>
            <w:tcW w:w="1674" w:type="dxa"/>
            <w:gridSpan w:val="2"/>
            <w:vAlign w:val="center"/>
          </w:tcPr>
          <w:p w:rsidR="00104300" w:rsidRPr="006A6B3F" w:rsidRDefault="00104300" w:rsidP="006A6B3F">
            <w:pPr>
              <w:tabs>
                <w:tab w:val="left" w:pos="459"/>
              </w:tabs>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Control</w:t>
            </w:r>
          </w:p>
        </w:tc>
        <w:tc>
          <w:tcPr>
            <w:tcW w:w="1674" w:type="dxa"/>
            <w:gridSpan w:val="2"/>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Case</w:t>
            </w:r>
          </w:p>
        </w:tc>
        <w:tc>
          <w:tcPr>
            <w:tcW w:w="1674" w:type="dxa"/>
            <w:gridSpan w:val="2"/>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Total</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vertAlign w:val="superscript"/>
              </w:rPr>
            </w:pPr>
            <w:r w:rsidRPr="006A6B3F">
              <w:rPr>
                <w:rFonts w:ascii="Times New Roman" w:hAnsi="Times New Roman" w:cs="Times New Roman"/>
                <w:sz w:val="24"/>
                <w:szCs w:val="24"/>
              </w:rPr>
              <w:t>X</w:t>
            </w:r>
            <w:r w:rsidRPr="006A6B3F">
              <w:rPr>
                <w:rFonts w:ascii="Times New Roman" w:hAnsi="Times New Roman" w:cs="Times New Roman"/>
                <w:sz w:val="24"/>
                <w:szCs w:val="24"/>
                <w:vertAlign w:val="superscript"/>
              </w:rPr>
              <w:t>2</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P</w:t>
            </w:r>
          </w:p>
        </w:tc>
      </w:tr>
      <w:tr w:rsidR="00104300" w:rsidRPr="006A6B3F">
        <w:trPr>
          <w:trHeight w:val="186"/>
          <w:jc w:val="center"/>
        </w:trPr>
        <w:tc>
          <w:tcPr>
            <w:tcW w:w="1309" w:type="dxa"/>
            <w:vMerge/>
            <w:tcBorders>
              <w:tl2br w:val="single" w:sz="4" w:space="0" w:color="auto"/>
            </w:tcBorders>
          </w:tcPr>
          <w:p w:rsidR="00104300" w:rsidRPr="006A6B3F" w:rsidRDefault="00104300" w:rsidP="006A6B3F">
            <w:pPr>
              <w:bidi w:val="0"/>
              <w:spacing w:after="0" w:line="360" w:lineRule="auto"/>
              <w:jc w:val="both"/>
              <w:rPr>
                <w:rFonts w:ascii="Times New Roman" w:hAnsi="Times New Roman" w:cs="Times New Roman"/>
                <w:sz w:val="24"/>
                <w:szCs w:val="24"/>
              </w:rPr>
            </w:pP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N</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N</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N</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w:t>
            </w:r>
          </w:p>
        </w:tc>
        <w:tc>
          <w:tcPr>
            <w:tcW w:w="837" w:type="dxa"/>
            <w:vMerge w:val="restart"/>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29.09</w:t>
            </w:r>
          </w:p>
        </w:tc>
        <w:tc>
          <w:tcPr>
            <w:tcW w:w="837" w:type="dxa"/>
            <w:vMerge w:val="restart"/>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&lt;0.01</w:t>
            </w:r>
          </w:p>
        </w:tc>
      </w:tr>
      <w:tr w:rsidR="00104300" w:rsidRPr="006A6B3F">
        <w:trPr>
          <w:trHeight w:val="229"/>
          <w:jc w:val="center"/>
        </w:trPr>
        <w:tc>
          <w:tcPr>
            <w:tcW w:w="130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Negative</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34</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42.5</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10</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12.5</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44</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55.0</w:t>
            </w:r>
          </w:p>
        </w:tc>
        <w:tc>
          <w:tcPr>
            <w:tcW w:w="837" w:type="dxa"/>
            <w:vMerge/>
          </w:tcPr>
          <w:p w:rsidR="00104300" w:rsidRPr="006A6B3F" w:rsidRDefault="00104300" w:rsidP="006A6B3F">
            <w:pPr>
              <w:bidi w:val="0"/>
              <w:spacing w:after="0" w:line="360" w:lineRule="auto"/>
              <w:jc w:val="both"/>
              <w:rPr>
                <w:rFonts w:ascii="Times New Roman" w:hAnsi="Times New Roman" w:cs="Times New Roman"/>
                <w:sz w:val="24"/>
                <w:szCs w:val="24"/>
              </w:rPr>
            </w:pPr>
          </w:p>
        </w:tc>
        <w:tc>
          <w:tcPr>
            <w:tcW w:w="837" w:type="dxa"/>
            <w:vMerge/>
          </w:tcPr>
          <w:p w:rsidR="00104300" w:rsidRPr="006A6B3F" w:rsidRDefault="00104300" w:rsidP="006A6B3F">
            <w:pPr>
              <w:bidi w:val="0"/>
              <w:spacing w:after="0" w:line="360" w:lineRule="auto"/>
              <w:jc w:val="both"/>
              <w:rPr>
                <w:rFonts w:ascii="Times New Roman" w:hAnsi="Times New Roman" w:cs="Times New Roman"/>
                <w:sz w:val="24"/>
                <w:szCs w:val="24"/>
              </w:rPr>
            </w:pPr>
          </w:p>
        </w:tc>
      </w:tr>
      <w:tr w:rsidR="00104300" w:rsidRPr="006A6B3F">
        <w:trPr>
          <w:trHeight w:val="258"/>
          <w:jc w:val="center"/>
        </w:trPr>
        <w:tc>
          <w:tcPr>
            <w:tcW w:w="130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positive</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6</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7.5</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30</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37.5</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36</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45.0</w:t>
            </w:r>
          </w:p>
        </w:tc>
        <w:tc>
          <w:tcPr>
            <w:tcW w:w="837" w:type="dxa"/>
            <w:vMerge/>
          </w:tcPr>
          <w:p w:rsidR="00104300" w:rsidRPr="006A6B3F" w:rsidRDefault="00104300" w:rsidP="006A6B3F">
            <w:pPr>
              <w:bidi w:val="0"/>
              <w:spacing w:after="0" w:line="360" w:lineRule="auto"/>
              <w:jc w:val="both"/>
              <w:rPr>
                <w:rFonts w:ascii="Times New Roman" w:hAnsi="Times New Roman" w:cs="Times New Roman"/>
                <w:sz w:val="24"/>
                <w:szCs w:val="24"/>
              </w:rPr>
            </w:pPr>
          </w:p>
        </w:tc>
        <w:tc>
          <w:tcPr>
            <w:tcW w:w="837" w:type="dxa"/>
            <w:vMerge/>
          </w:tcPr>
          <w:p w:rsidR="00104300" w:rsidRPr="006A6B3F" w:rsidRDefault="00104300" w:rsidP="006A6B3F">
            <w:pPr>
              <w:bidi w:val="0"/>
              <w:spacing w:after="0" w:line="360" w:lineRule="auto"/>
              <w:jc w:val="both"/>
              <w:rPr>
                <w:rFonts w:ascii="Times New Roman" w:hAnsi="Times New Roman" w:cs="Times New Roman"/>
                <w:sz w:val="24"/>
                <w:szCs w:val="24"/>
              </w:rPr>
            </w:pPr>
          </w:p>
        </w:tc>
      </w:tr>
      <w:tr w:rsidR="00104300" w:rsidRPr="006A6B3F">
        <w:trPr>
          <w:trHeight w:val="258"/>
          <w:jc w:val="center"/>
        </w:trPr>
        <w:tc>
          <w:tcPr>
            <w:tcW w:w="130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Total</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40</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50.0</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40</w:t>
            </w:r>
          </w:p>
        </w:tc>
        <w:tc>
          <w:tcPr>
            <w:tcW w:w="837" w:type="dxa"/>
            <w:vAlign w:val="center"/>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50.0</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80</w:t>
            </w:r>
          </w:p>
        </w:tc>
        <w:tc>
          <w:tcPr>
            <w:tcW w:w="83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100</w:t>
            </w:r>
          </w:p>
        </w:tc>
        <w:tc>
          <w:tcPr>
            <w:tcW w:w="837" w:type="dxa"/>
            <w:vMerge/>
          </w:tcPr>
          <w:p w:rsidR="00104300" w:rsidRPr="006A6B3F" w:rsidRDefault="00104300" w:rsidP="006A6B3F">
            <w:pPr>
              <w:bidi w:val="0"/>
              <w:spacing w:after="0" w:line="360" w:lineRule="auto"/>
              <w:jc w:val="both"/>
              <w:rPr>
                <w:rFonts w:ascii="Times New Roman" w:hAnsi="Times New Roman" w:cs="Times New Roman"/>
                <w:sz w:val="24"/>
                <w:szCs w:val="24"/>
              </w:rPr>
            </w:pPr>
          </w:p>
        </w:tc>
        <w:tc>
          <w:tcPr>
            <w:tcW w:w="837" w:type="dxa"/>
            <w:vMerge/>
          </w:tcPr>
          <w:p w:rsidR="00104300" w:rsidRPr="006A6B3F" w:rsidRDefault="00104300" w:rsidP="006A6B3F">
            <w:pPr>
              <w:bidi w:val="0"/>
              <w:spacing w:after="0" w:line="360" w:lineRule="auto"/>
              <w:jc w:val="both"/>
              <w:rPr>
                <w:rFonts w:ascii="Times New Roman" w:hAnsi="Times New Roman" w:cs="Times New Roman"/>
                <w:sz w:val="24"/>
                <w:szCs w:val="24"/>
              </w:rPr>
            </w:pPr>
          </w:p>
        </w:tc>
      </w:tr>
    </w:tbl>
    <w:p w:rsidR="00104300" w:rsidRDefault="00104300" w:rsidP="005C473F">
      <w:pPr>
        <w:spacing w:after="0" w:line="360" w:lineRule="auto"/>
        <w:jc w:val="center"/>
      </w:pPr>
    </w:p>
    <w:p w:rsidR="00104300" w:rsidRDefault="00104300" w:rsidP="005C473F">
      <w:pPr>
        <w:spacing w:after="0" w:line="360" w:lineRule="auto"/>
        <w:jc w:val="center"/>
      </w:pPr>
      <w:r w:rsidRPr="00A74230">
        <w:rPr>
          <w:noProof/>
        </w:rPr>
        <w:object w:dxaOrig="8670" w:dyaOrig="5050">
          <v:shape id="Chart 85" o:spid="_x0000_i1026" type="#_x0000_t75" style="width:433.5pt;height:252.75pt;visibility:visible" o:ole="">
            <v:imagedata r:id="rId9" o:title=""/>
            <o:lock v:ext="edit" aspectratio="f"/>
          </v:shape>
          <o:OLEObject Type="Embed" ProgID="Excel.Chart.8" ShapeID="Chart 85" DrawAspect="Content" ObjectID="_1461923645" r:id="rId10"/>
        </w:object>
      </w:r>
    </w:p>
    <w:p w:rsidR="00104300" w:rsidRPr="00AA6277" w:rsidRDefault="00104300" w:rsidP="005C473F">
      <w:pPr>
        <w:spacing w:after="0" w:line="360" w:lineRule="auto"/>
        <w:jc w:val="center"/>
        <w:outlineLvl w:val="0"/>
        <w:rPr>
          <w:rFonts w:ascii="Times New Roman" w:hAnsi="Times New Roman" w:cs="Times New Roman"/>
          <w:b/>
          <w:bCs/>
          <w:sz w:val="24"/>
          <w:szCs w:val="24"/>
        </w:rPr>
      </w:pPr>
      <w:r w:rsidRPr="00AA6277">
        <w:rPr>
          <w:rFonts w:ascii="Times New Roman" w:hAnsi="Times New Roman" w:cs="Times New Roman"/>
          <w:b/>
          <w:bCs/>
          <w:sz w:val="24"/>
          <w:szCs w:val="24"/>
        </w:rPr>
        <w:t>Figure (2): Distribution of the studied sample according to family history of obesity.</w:t>
      </w:r>
    </w:p>
    <w:p w:rsidR="00104300" w:rsidRPr="00013AA5" w:rsidRDefault="00104300" w:rsidP="005C473F">
      <w:pPr>
        <w:spacing w:after="0" w:line="360" w:lineRule="auto"/>
        <w:jc w:val="right"/>
        <w:rPr>
          <w:rFonts w:ascii="Times New Roman" w:hAnsi="Times New Roman" w:cs="Times New Roman"/>
          <w:sz w:val="28"/>
          <w:szCs w:val="28"/>
        </w:rPr>
      </w:pPr>
      <w:r w:rsidRPr="00013AA5">
        <w:rPr>
          <w:rFonts w:ascii="Times New Roman" w:hAnsi="Times New Roman" w:cs="Times New Roman"/>
          <w:sz w:val="28"/>
          <w:szCs w:val="28"/>
        </w:rPr>
        <w:t xml:space="preserve">    As regards the Age and anthropometric measurements of the studied sample, all variables showed significant increase in obese children in comparison to control group except for the height. </w:t>
      </w:r>
    </w:p>
    <w:p w:rsidR="00104300" w:rsidRDefault="00104300" w:rsidP="005C473F">
      <w:pPr>
        <w:spacing w:after="0" w:line="360" w:lineRule="auto"/>
        <w:jc w:val="right"/>
        <w:rPr>
          <w:rFonts w:ascii="Times New Roman" w:hAnsi="Times New Roman" w:cs="Times New Roman"/>
          <w:sz w:val="28"/>
          <w:szCs w:val="28"/>
        </w:rPr>
      </w:pPr>
      <w:r w:rsidRPr="00013AA5">
        <w:rPr>
          <w:rFonts w:ascii="Times New Roman" w:hAnsi="Times New Roman" w:cs="Times New Roman"/>
          <w:sz w:val="28"/>
          <w:szCs w:val="28"/>
        </w:rPr>
        <w:t xml:space="preserve">    We found statistically significant difference (p&lt;0.01) between obese and non-obese children as regards weight where the (Mean ±SD was 55.45±11.68) in obese and was 32.83±8.57) in non-obese group. And for the BMI, (Mean ±SD was 18.64±2.75) in obese and was (31.03±3.75) in the non-obese.</w:t>
      </w:r>
    </w:p>
    <w:p w:rsidR="00104300" w:rsidRDefault="00104300">
      <w:pPr>
        <w:bidi w:val="0"/>
        <w:rPr>
          <w:rFonts w:ascii="Times New Roman" w:hAnsi="Times New Roman" w:cs="Times New Roman"/>
          <w:b/>
          <w:bCs/>
          <w:sz w:val="28"/>
          <w:szCs w:val="28"/>
        </w:rPr>
      </w:pPr>
      <w:r>
        <w:rPr>
          <w:rFonts w:ascii="Times New Roman" w:hAnsi="Times New Roman" w:cs="Times New Roman"/>
          <w:b/>
          <w:bCs/>
          <w:sz w:val="28"/>
          <w:szCs w:val="28"/>
        </w:rPr>
        <w:br w:type="page"/>
      </w:r>
    </w:p>
    <w:p w:rsidR="00104300" w:rsidRPr="00AA6277" w:rsidRDefault="00104300" w:rsidP="005C473F">
      <w:pPr>
        <w:spacing w:after="0" w:line="360" w:lineRule="auto"/>
        <w:jc w:val="right"/>
        <w:rPr>
          <w:rFonts w:ascii="Times New Roman" w:hAnsi="Times New Roman" w:cs="Times New Roman"/>
          <w:sz w:val="24"/>
          <w:szCs w:val="24"/>
        </w:rPr>
      </w:pPr>
      <w:r w:rsidRPr="00AA6277">
        <w:rPr>
          <w:rFonts w:ascii="Times New Roman" w:hAnsi="Times New Roman" w:cs="Times New Roman"/>
          <w:b/>
          <w:bCs/>
          <w:sz w:val="28"/>
          <w:szCs w:val="28"/>
        </w:rPr>
        <w:t>Table (3): Age and anthropometric measurements of the studied sample.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4"/>
        <w:gridCol w:w="1717"/>
        <w:gridCol w:w="1659"/>
        <w:gridCol w:w="1291"/>
        <w:gridCol w:w="1275"/>
      </w:tblGrid>
      <w:tr w:rsidR="00104300" w:rsidRPr="006A6B3F">
        <w:trPr>
          <w:trHeight w:val="335"/>
          <w:jc w:val="center"/>
        </w:trPr>
        <w:tc>
          <w:tcPr>
            <w:tcW w:w="2514" w:type="dxa"/>
            <w:vMerge w:val="restart"/>
            <w:vAlign w:val="center"/>
          </w:tcPr>
          <w:p w:rsidR="00104300" w:rsidRPr="006A6B3F" w:rsidRDefault="00104300" w:rsidP="006A6B3F">
            <w:pPr>
              <w:bidi w:val="0"/>
              <w:spacing w:after="0" w:line="360" w:lineRule="auto"/>
              <w:jc w:val="both"/>
              <w:rPr>
                <w:rFonts w:ascii="Times New Roman" w:hAnsi="Times New Roman" w:cs="Times New Roman"/>
                <w:sz w:val="24"/>
                <w:szCs w:val="24"/>
              </w:rPr>
            </w:pPr>
          </w:p>
        </w:tc>
        <w:tc>
          <w:tcPr>
            <w:tcW w:w="1717" w:type="dxa"/>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Obese</w:t>
            </w:r>
          </w:p>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N=40</w:t>
            </w:r>
          </w:p>
        </w:tc>
        <w:tc>
          <w:tcPr>
            <w:tcW w:w="1659" w:type="dxa"/>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 xml:space="preserve">Non Obese </w:t>
            </w:r>
          </w:p>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N=40</w:t>
            </w:r>
          </w:p>
        </w:tc>
        <w:tc>
          <w:tcPr>
            <w:tcW w:w="1291" w:type="dxa"/>
            <w:vMerge w:val="restart"/>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t value</w:t>
            </w:r>
          </w:p>
        </w:tc>
        <w:tc>
          <w:tcPr>
            <w:tcW w:w="1275" w:type="dxa"/>
            <w:vMerge w:val="restart"/>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P</w:t>
            </w:r>
          </w:p>
        </w:tc>
      </w:tr>
      <w:tr w:rsidR="00104300" w:rsidRPr="006A6B3F">
        <w:trPr>
          <w:trHeight w:val="159"/>
          <w:jc w:val="center"/>
        </w:trPr>
        <w:tc>
          <w:tcPr>
            <w:tcW w:w="2514" w:type="dxa"/>
            <w:vMerge/>
            <w:vAlign w:val="center"/>
          </w:tcPr>
          <w:p w:rsidR="00104300" w:rsidRPr="006A6B3F" w:rsidRDefault="00104300" w:rsidP="006A6B3F">
            <w:pPr>
              <w:bidi w:val="0"/>
              <w:spacing w:after="0" w:line="360" w:lineRule="auto"/>
              <w:jc w:val="both"/>
              <w:rPr>
                <w:rFonts w:ascii="Times New Roman" w:hAnsi="Times New Roman" w:cs="Times New Roman"/>
                <w:sz w:val="24"/>
                <w:szCs w:val="24"/>
              </w:rPr>
            </w:pPr>
          </w:p>
        </w:tc>
        <w:tc>
          <w:tcPr>
            <w:tcW w:w="1717" w:type="dxa"/>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Mean ± SD</w:t>
            </w:r>
          </w:p>
        </w:tc>
        <w:tc>
          <w:tcPr>
            <w:tcW w:w="1659" w:type="dxa"/>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r w:rsidRPr="006A6B3F">
              <w:rPr>
                <w:rFonts w:ascii="Times New Roman" w:hAnsi="Times New Roman" w:cs="Times New Roman"/>
                <w:b/>
                <w:bCs/>
                <w:sz w:val="24"/>
                <w:szCs w:val="24"/>
                <w:lang w:val="en-CA"/>
              </w:rPr>
              <w:t>Mean ± SD</w:t>
            </w:r>
          </w:p>
        </w:tc>
        <w:tc>
          <w:tcPr>
            <w:tcW w:w="1291" w:type="dxa"/>
            <w:vMerge/>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p>
        </w:tc>
        <w:tc>
          <w:tcPr>
            <w:tcW w:w="1275" w:type="dxa"/>
            <w:vMerge/>
            <w:vAlign w:val="center"/>
          </w:tcPr>
          <w:p w:rsidR="00104300" w:rsidRPr="006A6B3F" w:rsidRDefault="00104300" w:rsidP="006A6B3F">
            <w:pPr>
              <w:bidi w:val="0"/>
              <w:spacing w:after="0" w:line="360" w:lineRule="auto"/>
              <w:jc w:val="both"/>
              <w:rPr>
                <w:rFonts w:ascii="Times New Roman" w:hAnsi="Times New Roman" w:cs="Times New Roman"/>
                <w:b/>
                <w:bCs/>
                <w:sz w:val="24"/>
                <w:szCs w:val="24"/>
                <w:lang w:val="en-CA"/>
              </w:rPr>
            </w:pPr>
          </w:p>
        </w:tc>
      </w:tr>
      <w:tr w:rsidR="00104300" w:rsidRPr="006A6B3F">
        <w:trPr>
          <w:trHeight w:val="320"/>
          <w:jc w:val="center"/>
        </w:trPr>
        <w:tc>
          <w:tcPr>
            <w:tcW w:w="2514" w:type="dxa"/>
            <w:vAlign w:val="center"/>
          </w:tcPr>
          <w:p w:rsidR="00104300" w:rsidRPr="006A6B3F" w:rsidRDefault="00104300" w:rsidP="006A6B3F">
            <w:pPr>
              <w:bidi w:val="0"/>
              <w:spacing w:after="0" w:line="360" w:lineRule="auto"/>
              <w:jc w:val="both"/>
              <w:rPr>
                <w:rFonts w:ascii="Times New Roman" w:hAnsi="Times New Roman" w:cs="Times New Roman"/>
                <w:sz w:val="24"/>
                <w:szCs w:val="24"/>
                <w:lang w:val="en-CA"/>
              </w:rPr>
            </w:pPr>
            <w:r w:rsidRPr="006A6B3F">
              <w:rPr>
                <w:rFonts w:ascii="Times New Roman" w:hAnsi="Times New Roman" w:cs="Times New Roman"/>
                <w:sz w:val="24"/>
                <w:szCs w:val="24"/>
                <w:lang w:val="en-CA"/>
              </w:rPr>
              <w:t>Age</w:t>
            </w:r>
          </w:p>
        </w:tc>
        <w:tc>
          <w:tcPr>
            <w:tcW w:w="171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8.75±1.35</w:t>
            </w:r>
          </w:p>
        </w:tc>
        <w:tc>
          <w:tcPr>
            <w:tcW w:w="165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7.95±1.71</w:t>
            </w:r>
          </w:p>
        </w:tc>
        <w:tc>
          <w:tcPr>
            <w:tcW w:w="1291"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2.32</w:t>
            </w:r>
          </w:p>
        </w:tc>
        <w:tc>
          <w:tcPr>
            <w:tcW w:w="1275"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&lt;0.05*</w:t>
            </w:r>
          </w:p>
        </w:tc>
      </w:tr>
      <w:tr w:rsidR="00104300" w:rsidRPr="006A6B3F">
        <w:trPr>
          <w:trHeight w:val="320"/>
          <w:jc w:val="center"/>
        </w:trPr>
        <w:tc>
          <w:tcPr>
            <w:tcW w:w="2514" w:type="dxa"/>
            <w:vAlign w:val="center"/>
          </w:tcPr>
          <w:p w:rsidR="00104300" w:rsidRPr="006A6B3F" w:rsidRDefault="00104300" w:rsidP="006A6B3F">
            <w:pPr>
              <w:bidi w:val="0"/>
              <w:spacing w:after="0" w:line="360" w:lineRule="auto"/>
              <w:jc w:val="both"/>
              <w:rPr>
                <w:rFonts w:ascii="Times New Roman" w:hAnsi="Times New Roman" w:cs="Times New Roman"/>
                <w:sz w:val="24"/>
                <w:szCs w:val="24"/>
                <w:lang w:val="en-CA"/>
              </w:rPr>
            </w:pPr>
            <w:r w:rsidRPr="006A6B3F">
              <w:rPr>
                <w:rFonts w:ascii="Times New Roman" w:hAnsi="Times New Roman" w:cs="Times New Roman"/>
                <w:sz w:val="24"/>
                <w:szCs w:val="24"/>
                <w:lang w:val="en-CA"/>
              </w:rPr>
              <w:t>Weight (kg)</w:t>
            </w:r>
          </w:p>
        </w:tc>
        <w:tc>
          <w:tcPr>
            <w:tcW w:w="171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55.45±11.68</w:t>
            </w:r>
          </w:p>
        </w:tc>
        <w:tc>
          <w:tcPr>
            <w:tcW w:w="165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32.83±8.57</w:t>
            </w:r>
          </w:p>
        </w:tc>
        <w:tc>
          <w:tcPr>
            <w:tcW w:w="1291"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9.81</w:t>
            </w:r>
          </w:p>
        </w:tc>
        <w:tc>
          <w:tcPr>
            <w:tcW w:w="1275"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&lt;0.01*</w:t>
            </w:r>
          </w:p>
        </w:tc>
      </w:tr>
      <w:tr w:rsidR="00104300" w:rsidRPr="006A6B3F">
        <w:trPr>
          <w:trHeight w:val="320"/>
          <w:jc w:val="center"/>
        </w:trPr>
        <w:tc>
          <w:tcPr>
            <w:tcW w:w="2514" w:type="dxa"/>
            <w:vAlign w:val="center"/>
          </w:tcPr>
          <w:p w:rsidR="00104300" w:rsidRPr="006A6B3F" w:rsidRDefault="00104300" w:rsidP="006A6B3F">
            <w:pPr>
              <w:bidi w:val="0"/>
              <w:spacing w:after="0" w:line="360" w:lineRule="auto"/>
              <w:jc w:val="both"/>
              <w:rPr>
                <w:rFonts w:ascii="Times New Roman" w:hAnsi="Times New Roman" w:cs="Times New Roman"/>
                <w:sz w:val="24"/>
                <w:szCs w:val="24"/>
                <w:lang w:val="en-CA"/>
              </w:rPr>
            </w:pPr>
            <w:r w:rsidRPr="006A6B3F">
              <w:rPr>
                <w:rFonts w:ascii="Times New Roman" w:hAnsi="Times New Roman" w:cs="Times New Roman"/>
                <w:sz w:val="24"/>
                <w:szCs w:val="24"/>
                <w:lang w:val="en-CA"/>
              </w:rPr>
              <w:t>Height (cm)</w:t>
            </w:r>
          </w:p>
        </w:tc>
        <w:tc>
          <w:tcPr>
            <w:tcW w:w="171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133.10±10.52</w:t>
            </w:r>
          </w:p>
        </w:tc>
        <w:tc>
          <w:tcPr>
            <w:tcW w:w="165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132.25±9.93</w:t>
            </w:r>
          </w:p>
        </w:tc>
        <w:tc>
          <w:tcPr>
            <w:tcW w:w="1291"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0.372</w:t>
            </w:r>
          </w:p>
        </w:tc>
        <w:tc>
          <w:tcPr>
            <w:tcW w:w="1275"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&gt;0.05</w:t>
            </w:r>
          </w:p>
        </w:tc>
      </w:tr>
      <w:tr w:rsidR="00104300" w:rsidRPr="006A6B3F">
        <w:trPr>
          <w:trHeight w:val="320"/>
          <w:jc w:val="center"/>
        </w:trPr>
        <w:tc>
          <w:tcPr>
            <w:tcW w:w="2514"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BMI (kg/m</w:t>
            </w:r>
            <w:r w:rsidRPr="006A6B3F">
              <w:rPr>
                <w:rFonts w:ascii="Times New Roman" w:hAnsi="Times New Roman" w:cs="Times New Roman"/>
                <w:sz w:val="24"/>
                <w:szCs w:val="24"/>
                <w:vertAlign w:val="superscript"/>
                <w:lang w:val="en-CA"/>
              </w:rPr>
              <w:t>2</w:t>
            </w:r>
            <w:r w:rsidRPr="006A6B3F">
              <w:rPr>
                <w:rFonts w:ascii="Times New Roman" w:hAnsi="Times New Roman" w:cs="Times New Roman"/>
                <w:sz w:val="24"/>
                <w:szCs w:val="24"/>
                <w:lang w:val="en-CA"/>
              </w:rPr>
              <w:t>)</w:t>
            </w:r>
          </w:p>
        </w:tc>
        <w:tc>
          <w:tcPr>
            <w:tcW w:w="171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31.03±3.75</w:t>
            </w:r>
          </w:p>
        </w:tc>
        <w:tc>
          <w:tcPr>
            <w:tcW w:w="165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18.64±2.75</w:t>
            </w:r>
          </w:p>
        </w:tc>
        <w:tc>
          <w:tcPr>
            <w:tcW w:w="1291"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16.81</w:t>
            </w:r>
          </w:p>
        </w:tc>
        <w:tc>
          <w:tcPr>
            <w:tcW w:w="1275"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&lt;0.01*</w:t>
            </w:r>
          </w:p>
        </w:tc>
      </w:tr>
      <w:tr w:rsidR="00104300" w:rsidRPr="006A6B3F">
        <w:trPr>
          <w:trHeight w:val="320"/>
          <w:jc w:val="center"/>
        </w:trPr>
        <w:tc>
          <w:tcPr>
            <w:tcW w:w="2514"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Waist circumference</w:t>
            </w:r>
          </w:p>
        </w:tc>
        <w:tc>
          <w:tcPr>
            <w:tcW w:w="171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95.30±6.60</w:t>
            </w:r>
          </w:p>
        </w:tc>
        <w:tc>
          <w:tcPr>
            <w:tcW w:w="165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65.08±7.07</w:t>
            </w:r>
          </w:p>
        </w:tc>
        <w:tc>
          <w:tcPr>
            <w:tcW w:w="1291"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19.75</w:t>
            </w:r>
          </w:p>
        </w:tc>
        <w:tc>
          <w:tcPr>
            <w:tcW w:w="1275"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&lt;0.01*</w:t>
            </w:r>
          </w:p>
        </w:tc>
      </w:tr>
      <w:tr w:rsidR="00104300" w:rsidRPr="006A6B3F">
        <w:trPr>
          <w:trHeight w:val="320"/>
          <w:jc w:val="center"/>
        </w:trPr>
        <w:tc>
          <w:tcPr>
            <w:tcW w:w="2514"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Hip circumference</w:t>
            </w:r>
          </w:p>
        </w:tc>
        <w:tc>
          <w:tcPr>
            <w:tcW w:w="171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101.15±6.56</w:t>
            </w:r>
          </w:p>
        </w:tc>
        <w:tc>
          <w:tcPr>
            <w:tcW w:w="165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72.25±8.50</w:t>
            </w:r>
          </w:p>
        </w:tc>
        <w:tc>
          <w:tcPr>
            <w:tcW w:w="1291"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17.02</w:t>
            </w:r>
          </w:p>
        </w:tc>
        <w:tc>
          <w:tcPr>
            <w:tcW w:w="1275"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&lt;0.01*</w:t>
            </w:r>
          </w:p>
        </w:tc>
      </w:tr>
      <w:tr w:rsidR="00104300" w:rsidRPr="006A6B3F">
        <w:trPr>
          <w:trHeight w:val="320"/>
          <w:jc w:val="center"/>
        </w:trPr>
        <w:tc>
          <w:tcPr>
            <w:tcW w:w="2514"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Waist/hip ratio</w:t>
            </w:r>
          </w:p>
        </w:tc>
        <w:tc>
          <w:tcPr>
            <w:tcW w:w="1717"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0.94±0.02</w:t>
            </w:r>
          </w:p>
        </w:tc>
        <w:tc>
          <w:tcPr>
            <w:tcW w:w="1659"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lang w:val="en-CA"/>
              </w:rPr>
              <w:t>0.90±0.05</w:t>
            </w:r>
          </w:p>
        </w:tc>
        <w:tc>
          <w:tcPr>
            <w:tcW w:w="1291"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4.31</w:t>
            </w:r>
          </w:p>
        </w:tc>
        <w:tc>
          <w:tcPr>
            <w:tcW w:w="1275" w:type="dxa"/>
          </w:tcPr>
          <w:p w:rsidR="00104300" w:rsidRPr="006A6B3F" w:rsidRDefault="00104300" w:rsidP="006A6B3F">
            <w:pPr>
              <w:bidi w:val="0"/>
              <w:spacing w:after="0" w:line="360" w:lineRule="auto"/>
              <w:jc w:val="both"/>
              <w:rPr>
                <w:rFonts w:ascii="Times New Roman" w:hAnsi="Times New Roman" w:cs="Times New Roman"/>
                <w:sz w:val="24"/>
                <w:szCs w:val="24"/>
              </w:rPr>
            </w:pPr>
            <w:r w:rsidRPr="006A6B3F">
              <w:rPr>
                <w:rFonts w:ascii="Times New Roman" w:hAnsi="Times New Roman" w:cs="Times New Roman"/>
                <w:sz w:val="24"/>
                <w:szCs w:val="24"/>
              </w:rPr>
              <w:t>&lt;0.01*</w:t>
            </w:r>
          </w:p>
        </w:tc>
      </w:tr>
    </w:tbl>
    <w:p w:rsidR="00104300" w:rsidRPr="00D35C7D" w:rsidRDefault="00104300" w:rsidP="005C473F">
      <w:pPr>
        <w:spacing w:after="0" w:line="360" w:lineRule="auto"/>
        <w:jc w:val="right"/>
        <w:rPr>
          <w:rFonts w:ascii="Times New Roman" w:hAnsi="Times New Roman" w:cs="Times New Roman"/>
          <w:b/>
          <w:bCs/>
          <w:sz w:val="32"/>
          <w:szCs w:val="32"/>
        </w:rPr>
      </w:pPr>
    </w:p>
    <w:p w:rsidR="00104300" w:rsidRDefault="00104300" w:rsidP="005C473F">
      <w:pPr>
        <w:spacing w:after="0" w:line="360" w:lineRule="auto"/>
        <w:rPr>
          <w:rFonts w:ascii="Times New Roman" w:hAnsi="Times New Roman" w:cs="Times New Roman"/>
          <w:sz w:val="24"/>
          <w:szCs w:val="24"/>
        </w:rPr>
      </w:pPr>
      <w:r w:rsidRPr="006A6B3F">
        <w:rPr>
          <w:b/>
          <w:bCs/>
          <w:noProof/>
          <w:sz w:val="24"/>
          <w:szCs w:val="24"/>
        </w:rPr>
        <w:object w:dxaOrig="8535" w:dyaOrig="5050">
          <v:shape id="Chart 4" o:spid="_x0000_i1027" type="#_x0000_t75" style="width:426.75pt;height:252.75pt;visibility:visible" o:ole="">
            <v:imagedata r:id="rId11" o:title=""/>
            <o:lock v:ext="edit" aspectratio="f"/>
          </v:shape>
          <o:OLEObject Type="Embed" ProgID="Excel.Chart.8" ShapeID="Chart 4" DrawAspect="Content" ObjectID="_1461923646" r:id="rId12"/>
        </w:object>
      </w:r>
    </w:p>
    <w:p w:rsidR="00104300" w:rsidRPr="00AA6277" w:rsidRDefault="00104300" w:rsidP="005C473F">
      <w:pPr>
        <w:spacing w:after="0" w:line="360" w:lineRule="auto"/>
        <w:ind w:firstLine="720"/>
        <w:jc w:val="center"/>
        <w:rPr>
          <w:rFonts w:ascii="Times New Roman" w:hAnsi="Times New Roman" w:cs="Times New Roman"/>
          <w:sz w:val="28"/>
          <w:szCs w:val="28"/>
        </w:rPr>
      </w:pPr>
      <w:r w:rsidRPr="00AA6277">
        <w:rPr>
          <w:rFonts w:ascii="Times New Roman" w:hAnsi="Times New Roman" w:cs="Times New Roman"/>
          <w:b/>
          <w:bCs/>
          <w:sz w:val="28"/>
          <w:szCs w:val="28"/>
        </w:rPr>
        <w:t>Figure (3):</w:t>
      </w:r>
      <w:r w:rsidRPr="00AA6277">
        <w:rPr>
          <w:rFonts w:ascii="Times New Roman" w:hAnsi="Times New Roman" w:cs="Times New Roman"/>
          <w:sz w:val="28"/>
          <w:szCs w:val="28"/>
        </w:rPr>
        <w:t xml:space="preserve"> </w:t>
      </w:r>
      <w:r w:rsidRPr="00AA6277">
        <w:rPr>
          <w:rFonts w:ascii="Times New Roman" w:hAnsi="Times New Roman" w:cs="Times New Roman"/>
          <w:b/>
          <w:bCs/>
          <w:sz w:val="28"/>
          <w:szCs w:val="28"/>
        </w:rPr>
        <w:t>Age and anthropometric measurements of the studied sample</w:t>
      </w:r>
      <w:r w:rsidRPr="00AA6277">
        <w:rPr>
          <w:rFonts w:ascii="Times New Roman" w:hAnsi="Times New Roman" w:cs="Times New Roman"/>
          <w:sz w:val="28"/>
          <w:szCs w:val="28"/>
        </w:rPr>
        <w:t>.</w:t>
      </w:r>
    </w:p>
    <w:p w:rsidR="00104300" w:rsidRDefault="00104300">
      <w:pPr>
        <w:bidi w:val="0"/>
        <w:rPr>
          <w:rFonts w:ascii="Times New Roman" w:hAnsi="Times New Roman" w:cs="Times New Roman"/>
          <w:b/>
          <w:bCs/>
          <w:sz w:val="32"/>
          <w:szCs w:val="32"/>
        </w:rPr>
      </w:pPr>
      <w:r>
        <w:rPr>
          <w:rFonts w:ascii="Times New Roman" w:hAnsi="Times New Roman" w:cs="Times New Roman"/>
          <w:b/>
          <w:bCs/>
          <w:sz w:val="32"/>
          <w:szCs w:val="32"/>
        </w:rPr>
        <w:br w:type="page"/>
      </w:r>
    </w:p>
    <w:p w:rsidR="00104300" w:rsidRPr="00AA6277" w:rsidRDefault="00104300" w:rsidP="005C473F">
      <w:pPr>
        <w:bidi w:val="0"/>
        <w:spacing w:after="0" w:line="360" w:lineRule="auto"/>
        <w:jc w:val="center"/>
        <w:outlineLvl w:val="0"/>
        <w:rPr>
          <w:rFonts w:ascii="Times New Roman" w:hAnsi="Times New Roman" w:cs="Times New Roman"/>
          <w:b/>
          <w:bCs/>
          <w:sz w:val="28"/>
          <w:szCs w:val="28"/>
        </w:rPr>
      </w:pPr>
      <w:r w:rsidRPr="00AA6277">
        <w:rPr>
          <w:rFonts w:ascii="Times New Roman" w:hAnsi="Times New Roman" w:cs="Times New Roman"/>
          <w:b/>
          <w:bCs/>
          <w:sz w:val="28"/>
          <w:szCs w:val="28"/>
        </w:rPr>
        <w:t>Table (4): comparison between obese and non-obese in chemistry variables (Osteocalcin and deoxypyridinoline).</w:t>
      </w:r>
    </w:p>
    <w:tbl>
      <w:tblPr>
        <w:tblW w:w="8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6"/>
        <w:gridCol w:w="1526"/>
        <w:gridCol w:w="1383"/>
        <w:gridCol w:w="1526"/>
        <w:gridCol w:w="1483"/>
        <w:gridCol w:w="889"/>
        <w:gridCol w:w="879"/>
      </w:tblGrid>
      <w:tr w:rsidR="00104300" w:rsidRPr="006A6B3F">
        <w:trPr>
          <w:trHeight w:val="303"/>
          <w:jc w:val="center"/>
        </w:trPr>
        <w:tc>
          <w:tcPr>
            <w:tcW w:w="706" w:type="dxa"/>
            <w:vMerge w:val="restart"/>
          </w:tcPr>
          <w:p w:rsidR="00104300" w:rsidRPr="006A6B3F" w:rsidRDefault="00104300" w:rsidP="006A6B3F">
            <w:pPr>
              <w:bidi w:val="0"/>
              <w:spacing w:after="0" w:line="360" w:lineRule="auto"/>
              <w:rPr>
                <w:rFonts w:ascii="Times New Roman" w:hAnsi="Times New Roman" w:cs="Times New Roman"/>
                <w:sz w:val="20"/>
                <w:szCs w:val="20"/>
              </w:rPr>
            </w:pPr>
          </w:p>
        </w:tc>
        <w:tc>
          <w:tcPr>
            <w:tcW w:w="2909" w:type="dxa"/>
            <w:gridSpan w:val="2"/>
            <w:vAlign w:val="center"/>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Obese</w:t>
            </w:r>
          </w:p>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N=40</w:t>
            </w:r>
          </w:p>
        </w:tc>
        <w:tc>
          <w:tcPr>
            <w:tcW w:w="3009" w:type="dxa"/>
            <w:gridSpan w:val="2"/>
            <w:vAlign w:val="center"/>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 xml:space="preserve">Non Obese </w:t>
            </w:r>
          </w:p>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N=40</w:t>
            </w:r>
          </w:p>
        </w:tc>
        <w:tc>
          <w:tcPr>
            <w:tcW w:w="889" w:type="dxa"/>
            <w:vMerge w:val="restart"/>
            <w:vAlign w:val="center"/>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t value</w:t>
            </w:r>
          </w:p>
        </w:tc>
        <w:tc>
          <w:tcPr>
            <w:tcW w:w="879" w:type="dxa"/>
            <w:vMerge w:val="restart"/>
            <w:vAlign w:val="center"/>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P</w:t>
            </w:r>
          </w:p>
        </w:tc>
      </w:tr>
      <w:tr w:rsidR="00104300" w:rsidRPr="006A6B3F">
        <w:trPr>
          <w:trHeight w:val="303"/>
          <w:jc w:val="center"/>
        </w:trPr>
        <w:tc>
          <w:tcPr>
            <w:tcW w:w="706" w:type="dxa"/>
            <w:vMerge/>
            <w:vAlign w:val="center"/>
          </w:tcPr>
          <w:p w:rsidR="00104300" w:rsidRPr="006A6B3F" w:rsidRDefault="00104300" w:rsidP="006A6B3F">
            <w:pPr>
              <w:spacing w:after="0" w:line="360" w:lineRule="auto"/>
              <w:rPr>
                <w:rFonts w:ascii="Times New Roman" w:hAnsi="Times New Roman" w:cs="Times New Roman"/>
                <w:sz w:val="20"/>
                <w:szCs w:val="20"/>
              </w:rPr>
            </w:pPr>
          </w:p>
        </w:tc>
        <w:tc>
          <w:tcPr>
            <w:tcW w:w="1526" w:type="dxa"/>
            <w:vAlign w:val="center"/>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Mean ± SD</w:t>
            </w:r>
          </w:p>
        </w:tc>
        <w:tc>
          <w:tcPr>
            <w:tcW w:w="1383" w:type="dxa"/>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Range</w:t>
            </w:r>
          </w:p>
        </w:tc>
        <w:tc>
          <w:tcPr>
            <w:tcW w:w="1526" w:type="dxa"/>
            <w:vAlign w:val="center"/>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Mean ± SD</w:t>
            </w:r>
          </w:p>
        </w:tc>
        <w:tc>
          <w:tcPr>
            <w:tcW w:w="1483" w:type="dxa"/>
          </w:tcPr>
          <w:p w:rsidR="00104300" w:rsidRPr="006A6B3F" w:rsidRDefault="00104300" w:rsidP="006A6B3F">
            <w:pPr>
              <w:bidi w:val="0"/>
              <w:spacing w:after="0" w:line="360" w:lineRule="auto"/>
              <w:jc w:val="center"/>
              <w:rPr>
                <w:rFonts w:ascii="Times New Roman" w:hAnsi="Times New Roman" w:cs="Times New Roman"/>
                <w:b/>
                <w:bCs/>
                <w:sz w:val="20"/>
                <w:szCs w:val="20"/>
                <w:lang w:val="en-CA"/>
              </w:rPr>
            </w:pPr>
            <w:r w:rsidRPr="006A6B3F">
              <w:rPr>
                <w:rFonts w:ascii="Times New Roman" w:hAnsi="Times New Roman" w:cs="Times New Roman"/>
                <w:b/>
                <w:bCs/>
                <w:sz w:val="20"/>
                <w:szCs w:val="20"/>
                <w:lang w:val="en-CA"/>
              </w:rPr>
              <w:t>Range</w:t>
            </w:r>
          </w:p>
        </w:tc>
        <w:tc>
          <w:tcPr>
            <w:tcW w:w="889" w:type="dxa"/>
            <w:vMerge/>
            <w:vAlign w:val="center"/>
          </w:tcPr>
          <w:p w:rsidR="00104300" w:rsidRPr="006A6B3F" w:rsidRDefault="00104300" w:rsidP="006A6B3F">
            <w:pPr>
              <w:spacing w:after="0" w:line="360" w:lineRule="auto"/>
              <w:rPr>
                <w:rFonts w:ascii="Times New Roman" w:hAnsi="Times New Roman" w:cs="Times New Roman"/>
                <w:b/>
                <w:bCs/>
                <w:sz w:val="20"/>
                <w:szCs w:val="20"/>
                <w:lang w:val="en-CA"/>
              </w:rPr>
            </w:pPr>
          </w:p>
        </w:tc>
        <w:tc>
          <w:tcPr>
            <w:tcW w:w="879" w:type="dxa"/>
            <w:vMerge/>
            <w:vAlign w:val="center"/>
          </w:tcPr>
          <w:p w:rsidR="00104300" w:rsidRPr="006A6B3F" w:rsidRDefault="00104300" w:rsidP="006A6B3F">
            <w:pPr>
              <w:spacing w:after="0" w:line="360" w:lineRule="auto"/>
              <w:rPr>
                <w:rFonts w:ascii="Times New Roman" w:hAnsi="Times New Roman" w:cs="Times New Roman"/>
                <w:b/>
                <w:bCs/>
                <w:sz w:val="20"/>
                <w:szCs w:val="20"/>
                <w:lang w:val="en-CA"/>
              </w:rPr>
            </w:pPr>
          </w:p>
        </w:tc>
      </w:tr>
      <w:tr w:rsidR="00104300" w:rsidRPr="006A6B3F">
        <w:trPr>
          <w:trHeight w:val="351"/>
          <w:jc w:val="center"/>
        </w:trPr>
        <w:tc>
          <w:tcPr>
            <w:tcW w:w="706" w:type="dxa"/>
            <w:vAlign w:val="center"/>
          </w:tcPr>
          <w:p w:rsidR="00104300" w:rsidRPr="006A6B3F" w:rsidRDefault="00104300" w:rsidP="006A6B3F">
            <w:pPr>
              <w:bidi w:val="0"/>
              <w:spacing w:after="0" w:line="360" w:lineRule="auto"/>
              <w:rPr>
                <w:rFonts w:ascii="Times New Roman" w:hAnsi="Times New Roman" w:cs="Times New Roman"/>
                <w:sz w:val="20"/>
                <w:szCs w:val="20"/>
                <w:lang w:val="en-CA"/>
              </w:rPr>
            </w:pPr>
            <w:r w:rsidRPr="006A6B3F">
              <w:rPr>
                <w:rFonts w:ascii="Times New Roman" w:hAnsi="Times New Roman" w:cs="Times New Roman"/>
                <w:sz w:val="20"/>
                <w:szCs w:val="20"/>
                <w:lang w:val="en-CA"/>
              </w:rPr>
              <w:t>OSC</w:t>
            </w:r>
          </w:p>
        </w:tc>
        <w:tc>
          <w:tcPr>
            <w:tcW w:w="1526" w:type="dxa"/>
          </w:tcPr>
          <w:p w:rsidR="00104300" w:rsidRPr="006A6B3F" w:rsidRDefault="00104300" w:rsidP="006A6B3F">
            <w:pPr>
              <w:tabs>
                <w:tab w:val="left" w:pos="253"/>
                <w:tab w:val="center" w:pos="750"/>
              </w:tabs>
              <w:bidi w:val="0"/>
              <w:spacing w:after="0" w:line="360" w:lineRule="auto"/>
              <w:jc w:val="center"/>
              <w:rPr>
                <w:rFonts w:ascii="Times New Roman" w:hAnsi="Times New Roman" w:cs="Times New Roman"/>
                <w:sz w:val="20"/>
                <w:szCs w:val="20"/>
              </w:rPr>
            </w:pPr>
            <w:r w:rsidRPr="006A6B3F">
              <w:rPr>
                <w:rFonts w:ascii="Times New Roman" w:hAnsi="Times New Roman" w:cs="Times New Roman"/>
                <w:sz w:val="20"/>
                <w:szCs w:val="20"/>
                <w:lang w:val="en-CA"/>
              </w:rPr>
              <w:t>33.13±11.83</w:t>
            </w:r>
          </w:p>
        </w:tc>
        <w:tc>
          <w:tcPr>
            <w:tcW w:w="1383" w:type="dxa"/>
          </w:tcPr>
          <w:p w:rsidR="00104300" w:rsidRPr="006A6B3F" w:rsidRDefault="00104300" w:rsidP="006A6B3F">
            <w:pPr>
              <w:bidi w:val="0"/>
              <w:spacing w:after="0" w:line="360" w:lineRule="auto"/>
              <w:jc w:val="center"/>
              <w:rPr>
                <w:rFonts w:ascii="Times New Roman" w:hAnsi="Times New Roman" w:cs="Times New Roman"/>
                <w:sz w:val="20"/>
                <w:szCs w:val="20"/>
              </w:rPr>
            </w:pPr>
            <w:r w:rsidRPr="006A6B3F">
              <w:rPr>
                <w:rFonts w:ascii="Times New Roman" w:hAnsi="Times New Roman" w:cs="Times New Roman"/>
                <w:sz w:val="20"/>
                <w:szCs w:val="20"/>
              </w:rPr>
              <w:t>10.60-58.15</w:t>
            </w:r>
          </w:p>
        </w:tc>
        <w:tc>
          <w:tcPr>
            <w:tcW w:w="1526" w:type="dxa"/>
          </w:tcPr>
          <w:p w:rsidR="00104300" w:rsidRPr="006A6B3F" w:rsidRDefault="00104300" w:rsidP="006A6B3F">
            <w:pPr>
              <w:tabs>
                <w:tab w:val="left" w:pos="253"/>
                <w:tab w:val="center" w:pos="750"/>
              </w:tabs>
              <w:bidi w:val="0"/>
              <w:spacing w:after="0" w:line="360" w:lineRule="auto"/>
              <w:jc w:val="center"/>
              <w:rPr>
                <w:rFonts w:ascii="Times New Roman" w:hAnsi="Times New Roman" w:cs="Times New Roman"/>
                <w:sz w:val="20"/>
                <w:szCs w:val="20"/>
              </w:rPr>
            </w:pPr>
            <w:r w:rsidRPr="006A6B3F">
              <w:rPr>
                <w:rFonts w:ascii="Times New Roman" w:hAnsi="Times New Roman" w:cs="Times New Roman"/>
                <w:sz w:val="20"/>
                <w:szCs w:val="20"/>
                <w:lang w:val="en-CA"/>
              </w:rPr>
              <w:t>39.06±7.29</w:t>
            </w:r>
          </w:p>
        </w:tc>
        <w:tc>
          <w:tcPr>
            <w:tcW w:w="1483" w:type="dxa"/>
          </w:tcPr>
          <w:p w:rsidR="00104300" w:rsidRPr="006A6B3F" w:rsidRDefault="00104300" w:rsidP="006A6B3F">
            <w:pPr>
              <w:bidi w:val="0"/>
              <w:spacing w:after="0" w:line="360" w:lineRule="auto"/>
              <w:jc w:val="center"/>
              <w:rPr>
                <w:rFonts w:ascii="Times New Roman" w:hAnsi="Times New Roman" w:cs="Times New Roman"/>
                <w:sz w:val="20"/>
                <w:szCs w:val="20"/>
                <w:lang w:val="en-CA"/>
              </w:rPr>
            </w:pPr>
            <w:r w:rsidRPr="006A6B3F">
              <w:rPr>
                <w:rFonts w:ascii="Times New Roman" w:hAnsi="Times New Roman" w:cs="Times New Roman"/>
                <w:sz w:val="20"/>
                <w:szCs w:val="20"/>
                <w:lang w:val="en-CA"/>
              </w:rPr>
              <w:t>23.27-51.20</w:t>
            </w:r>
          </w:p>
        </w:tc>
        <w:tc>
          <w:tcPr>
            <w:tcW w:w="889" w:type="dxa"/>
            <w:vAlign w:val="center"/>
          </w:tcPr>
          <w:p w:rsidR="00104300" w:rsidRPr="006A6B3F" w:rsidRDefault="00104300" w:rsidP="006A6B3F">
            <w:pPr>
              <w:bidi w:val="0"/>
              <w:spacing w:after="0" w:line="360" w:lineRule="auto"/>
              <w:jc w:val="center"/>
              <w:rPr>
                <w:rFonts w:ascii="Times New Roman" w:hAnsi="Times New Roman" w:cs="Times New Roman"/>
                <w:sz w:val="20"/>
                <w:szCs w:val="20"/>
              </w:rPr>
            </w:pPr>
            <w:r w:rsidRPr="006A6B3F">
              <w:rPr>
                <w:rFonts w:ascii="Times New Roman" w:hAnsi="Times New Roman" w:cs="Times New Roman"/>
                <w:sz w:val="20"/>
                <w:szCs w:val="20"/>
              </w:rPr>
              <w:t>2.69</w:t>
            </w:r>
          </w:p>
        </w:tc>
        <w:tc>
          <w:tcPr>
            <w:tcW w:w="879" w:type="dxa"/>
          </w:tcPr>
          <w:p w:rsidR="00104300" w:rsidRPr="006A6B3F" w:rsidRDefault="00104300" w:rsidP="006A6B3F">
            <w:pPr>
              <w:bidi w:val="0"/>
              <w:spacing w:after="0" w:line="360" w:lineRule="auto"/>
              <w:jc w:val="center"/>
              <w:rPr>
                <w:rFonts w:ascii="Times New Roman" w:hAnsi="Times New Roman" w:cs="Times New Roman"/>
                <w:sz w:val="20"/>
                <w:szCs w:val="20"/>
                <w:lang w:val="en-CA"/>
              </w:rPr>
            </w:pPr>
            <w:r w:rsidRPr="006A6B3F">
              <w:rPr>
                <w:rFonts w:ascii="Times New Roman" w:hAnsi="Times New Roman" w:cs="Times New Roman"/>
                <w:sz w:val="20"/>
                <w:szCs w:val="20"/>
              </w:rPr>
              <w:t>&lt;0.01*</w:t>
            </w:r>
          </w:p>
        </w:tc>
      </w:tr>
      <w:tr w:rsidR="00104300" w:rsidRPr="006A6B3F">
        <w:trPr>
          <w:trHeight w:val="351"/>
          <w:jc w:val="center"/>
        </w:trPr>
        <w:tc>
          <w:tcPr>
            <w:tcW w:w="706" w:type="dxa"/>
          </w:tcPr>
          <w:p w:rsidR="00104300" w:rsidRPr="006A6B3F" w:rsidRDefault="00104300" w:rsidP="006A6B3F">
            <w:pPr>
              <w:bidi w:val="0"/>
              <w:spacing w:after="0" w:line="360" w:lineRule="auto"/>
              <w:rPr>
                <w:rFonts w:ascii="Times New Roman" w:hAnsi="Times New Roman" w:cs="Times New Roman"/>
                <w:sz w:val="20"/>
                <w:szCs w:val="20"/>
              </w:rPr>
            </w:pPr>
            <w:r w:rsidRPr="006A6B3F">
              <w:rPr>
                <w:rFonts w:ascii="Times New Roman" w:hAnsi="Times New Roman" w:cs="Times New Roman"/>
                <w:sz w:val="20"/>
                <w:szCs w:val="20"/>
              </w:rPr>
              <w:t>Dpd</w:t>
            </w:r>
          </w:p>
        </w:tc>
        <w:tc>
          <w:tcPr>
            <w:tcW w:w="1526" w:type="dxa"/>
          </w:tcPr>
          <w:p w:rsidR="00104300" w:rsidRPr="006A6B3F" w:rsidRDefault="00104300" w:rsidP="006A6B3F">
            <w:pPr>
              <w:bidi w:val="0"/>
              <w:spacing w:after="0" w:line="360" w:lineRule="auto"/>
              <w:jc w:val="center"/>
              <w:rPr>
                <w:rFonts w:ascii="Times New Roman" w:hAnsi="Times New Roman" w:cs="Times New Roman"/>
                <w:sz w:val="20"/>
                <w:szCs w:val="20"/>
                <w:lang w:val="en-CA"/>
              </w:rPr>
            </w:pPr>
            <w:r w:rsidRPr="006A6B3F">
              <w:rPr>
                <w:rFonts w:ascii="Times New Roman" w:hAnsi="Times New Roman" w:cs="Times New Roman"/>
                <w:sz w:val="20"/>
                <w:szCs w:val="20"/>
                <w:lang w:val="en-CA"/>
              </w:rPr>
              <w:t>289.02±130.17</w:t>
            </w:r>
          </w:p>
        </w:tc>
        <w:tc>
          <w:tcPr>
            <w:tcW w:w="1383" w:type="dxa"/>
          </w:tcPr>
          <w:p w:rsidR="00104300" w:rsidRPr="006A6B3F" w:rsidRDefault="00104300" w:rsidP="006A6B3F">
            <w:pPr>
              <w:bidi w:val="0"/>
              <w:spacing w:after="0" w:line="360" w:lineRule="auto"/>
              <w:jc w:val="center"/>
              <w:rPr>
                <w:rFonts w:ascii="Times New Roman" w:hAnsi="Times New Roman" w:cs="Times New Roman"/>
                <w:sz w:val="20"/>
                <w:szCs w:val="20"/>
              </w:rPr>
            </w:pPr>
            <w:r w:rsidRPr="006A6B3F">
              <w:rPr>
                <w:rFonts w:ascii="Times New Roman" w:hAnsi="Times New Roman" w:cs="Times New Roman"/>
                <w:sz w:val="20"/>
                <w:szCs w:val="20"/>
              </w:rPr>
              <w:t>112.86-602.27</w:t>
            </w:r>
          </w:p>
        </w:tc>
        <w:tc>
          <w:tcPr>
            <w:tcW w:w="1526" w:type="dxa"/>
          </w:tcPr>
          <w:p w:rsidR="00104300" w:rsidRPr="006A6B3F" w:rsidRDefault="00104300" w:rsidP="006A6B3F">
            <w:pPr>
              <w:bidi w:val="0"/>
              <w:spacing w:after="0" w:line="360" w:lineRule="auto"/>
              <w:jc w:val="center"/>
              <w:rPr>
                <w:rFonts w:ascii="Times New Roman" w:hAnsi="Times New Roman" w:cs="Times New Roman"/>
                <w:sz w:val="20"/>
                <w:szCs w:val="20"/>
                <w:lang w:val="en-CA"/>
              </w:rPr>
            </w:pPr>
            <w:r w:rsidRPr="006A6B3F">
              <w:rPr>
                <w:rFonts w:ascii="Times New Roman" w:hAnsi="Times New Roman" w:cs="Times New Roman"/>
                <w:sz w:val="20"/>
                <w:szCs w:val="20"/>
                <w:lang w:val="en-CA"/>
              </w:rPr>
              <w:t>306.55±194.81</w:t>
            </w:r>
          </w:p>
        </w:tc>
        <w:tc>
          <w:tcPr>
            <w:tcW w:w="1483" w:type="dxa"/>
          </w:tcPr>
          <w:p w:rsidR="00104300" w:rsidRPr="006A6B3F" w:rsidRDefault="00104300" w:rsidP="006A6B3F">
            <w:pPr>
              <w:bidi w:val="0"/>
              <w:spacing w:after="0" w:line="360" w:lineRule="auto"/>
              <w:jc w:val="center"/>
              <w:rPr>
                <w:rFonts w:ascii="Times New Roman" w:hAnsi="Times New Roman" w:cs="Times New Roman"/>
                <w:sz w:val="20"/>
                <w:szCs w:val="20"/>
                <w:lang w:val="en-CA"/>
              </w:rPr>
            </w:pPr>
            <w:r w:rsidRPr="006A6B3F">
              <w:rPr>
                <w:rFonts w:ascii="Times New Roman" w:hAnsi="Times New Roman" w:cs="Times New Roman"/>
                <w:sz w:val="20"/>
                <w:szCs w:val="20"/>
                <w:lang w:val="en-CA"/>
              </w:rPr>
              <w:t>86.12-652.58</w:t>
            </w:r>
          </w:p>
        </w:tc>
        <w:tc>
          <w:tcPr>
            <w:tcW w:w="889" w:type="dxa"/>
            <w:vAlign w:val="center"/>
          </w:tcPr>
          <w:p w:rsidR="00104300" w:rsidRPr="006A6B3F" w:rsidRDefault="00104300" w:rsidP="006A6B3F">
            <w:pPr>
              <w:bidi w:val="0"/>
              <w:spacing w:after="0" w:line="360" w:lineRule="auto"/>
              <w:jc w:val="center"/>
              <w:rPr>
                <w:rFonts w:ascii="Times New Roman" w:hAnsi="Times New Roman" w:cs="Times New Roman"/>
                <w:sz w:val="20"/>
                <w:szCs w:val="20"/>
              </w:rPr>
            </w:pPr>
            <w:r w:rsidRPr="006A6B3F">
              <w:rPr>
                <w:rFonts w:ascii="Times New Roman" w:hAnsi="Times New Roman" w:cs="Times New Roman"/>
                <w:sz w:val="20"/>
                <w:szCs w:val="20"/>
              </w:rPr>
              <w:t>0.473</w:t>
            </w:r>
          </w:p>
        </w:tc>
        <w:tc>
          <w:tcPr>
            <w:tcW w:w="879" w:type="dxa"/>
          </w:tcPr>
          <w:p w:rsidR="00104300" w:rsidRPr="006A6B3F" w:rsidRDefault="00104300" w:rsidP="006A6B3F">
            <w:pPr>
              <w:bidi w:val="0"/>
              <w:spacing w:after="0" w:line="360" w:lineRule="auto"/>
              <w:jc w:val="center"/>
              <w:rPr>
                <w:rFonts w:ascii="Times New Roman" w:hAnsi="Times New Roman" w:cs="Times New Roman"/>
                <w:sz w:val="20"/>
                <w:szCs w:val="20"/>
                <w:lang w:val="en-CA"/>
              </w:rPr>
            </w:pPr>
            <w:r w:rsidRPr="006A6B3F">
              <w:rPr>
                <w:rFonts w:ascii="Times New Roman" w:hAnsi="Times New Roman" w:cs="Times New Roman"/>
                <w:sz w:val="20"/>
                <w:szCs w:val="20"/>
                <w:lang w:val="en-CA"/>
              </w:rPr>
              <w:t>&gt;0.05</w:t>
            </w:r>
          </w:p>
        </w:tc>
      </w:tr>
    </w:tbl>
    <w:p w:rsidR="00104300" w:rsidRDefault="00104300" w:rsidP="005C473F">
      <w:pPr>
        <w:spacing w:after="0" w:line="360" w:lineRule="auto"/>
        <w:jc w:val="right"/>
        <w:rPr>
          <w:rFonts w:ascii="Times New Roman" w:hAnsi="Times New Roman" w:cs="Times New Roman"/>
          <w:b/>
          <w:bCs/>
          <w:sz w:val="32"/>
          <w:szCs w:val="32"/>
          <w:rtl/>
        </w:rPr>
      </w:pPr>
    </w:p>
    <w:p w:rsidR="00104300" w:rsidRDefault="00104300" w:rsidP="005C473F">
      <w:pPr>
        <w:bidi w:val="0"/>
        <w:spacing w:after="0" w:line="360" w:lineRule="auto"/>
        <w:jc w:val="center"/>
      </w:pPr>
      <w:r w:rsidRPr="00A74230">
        <w:rPr>
          <w:noProof/>
        </w:rPr>
        <w:object w:dxaOrig="8708" w:dyaOrig="3869">
          <v:shape id="Chart 2" o:spid="_x0000_i1028" type="#_x0000_t75" style="width:435.75pt;height:193.5pt;visibility:visible" o:ole="">
            <v:imagedata r:id="rId13" o:title="" cropbottom="-51f"/>
            <o:lock v:ext="edit" aspectratio="f"/>
          </v:shape>
          <o:OLEObject Type="Embed" ProgID="Excel.Chart.8" ShapeID="Chart 2" DrawAspect="Content" ObjectID="_1461923647" r:id="rId14"/>
        </w:object>
      </w:r>
    </w:p>
    <w:p w:rsidR="00104300" w:rsidRPr="00AA6277" w:rsidRDefault="00104300" w:rsidP="005C473F">
      <w:pPr>
        <w:spacing w:after="0" w:line="360" w:lineRule="auto"/>
        <w:jc w:val="center"/>
        <w:rPr>
          <w:rFonts w:ascii="Times New Roman" w:hAnsi="Times New Roman" w:cs="Times New Roman"/>
          <w:b/>
          <w:bCs/>
          <w:sz w:val="24"/>
          <w:szCs w:val="24"/>
        </w:rPr>
      </w:pPr>
      <w:r w:rsidRPr="00AA6277">
        <w:rPr>
          <w:rFonts w:ascii="Times New Roman" w:hAnsi="Times New Roman" w:cs="Times New Roman"/>
          <w:b/>
          <w:bCs/>
          <w:sz w:val="24"/>
          <w:szCs w:val="24"/>
        </w:rPr>
        <w:t>Figure (4): comparison between obese and non-obese in Osteocalcin (ng/ml)</w:t>
      </w:r>
    </w:p>
    <w:p w:rsidR="00104300" w:rsidRDefault="00104300" w:rsidP="005C473F">
      <w:pPr>
        <w:bidi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104300" w:rsidRDefault="00104300" w:rsidP="00AA6277">
      <w:pPr>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As regards the comparison of serum Osteocalcin between obese and non-obese children (as a bone formation marker), it showed a significant decrease in obese children in comparison to the non-obese group. (p&lt;0.01). </w:t>
      </w:r>
    </w:p>
    <w:p w:rsidR="00104300" w:rsidRPr="00474685" w:rsidRDefault="00104300" w:rsidP="005C473F">
      <w:pPr>
        <w:bidi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While, for deoxypyridinoline (DPD) (as a bone turnover marker), there was no significant difference between obese and non-obese children. (p&gt; 0.05).  </w:t>
      </w:r>
    </w:p>
    <w:p w:rsidR="00104300" w:rsidRDefault="00104300" w:rsidP="005C473F">
      <w:pPr>
        <w:spacing w:after="0" w:line="360" w:lineRule="auto"/>
        <w:jc w:val="center"/>
        <w:rPr>
          <w:rFonts w:ascii="Times New Roman" w:hAnsi="Times New Roman" w:cs="Times New Roman"/>
          <w:b/>
          <w:bCs/>
          <w:sz w:val="32"/>
          <w:szCs w:val="32"/>
        </w:rPr>
      </w:pPr>
      <w:r w:rsidRPr="00A74230">
        <w:rPr>
          <w:noProof/>
        </w:rPr>
        <w:object w:dxaOrig="8334" w:dyaOrig="4858">
          <v:shape id="_x0000_i1029" type="#_x0000_t75" style="width:417pt;height:243pt;visibility:visible" o:ole="">
            <v:imagedata r:id="rId15" o:title=""/>
            <o:lock v:ext="edit" aspectratio="f"/>
          </v:shape>
          <o:OLEObject Type="Embed" ProgID="Excel.Chart.8" ShapeID="_x0000_i1029" DrawAspect="Content" ObjectID="_1461923648" r:id="rId16"/>
        </w:object>
      </w:r>
    </w:p>
    <w:p w:rsidR="00104300" w:rsidRPr="00AA6277" w:rsidRDefault="00104300" w:rsidP="00AA6277">
      <w:pPr>
        <w:bidi w:val="0"/>
        <w:spacing w:after="0" w:line="360" w:lineRule="auto"/>
        <w:jc w:val="center"/>
        <w:rPr>
          <w:rFonts w:ascii="Times New Roman" w:hAnsi="Times New Roman" w:cs="Times New Roman"/>
          <w:b/>
          <w:bCs/>
          <w:sz w:val="32"/>
          <w:szCs w:val="32"/>
        </w:rPr>
      </w:pPr>
      <w:r w:rsidRPr="00AA6277">
        <w:rPr>
          <w:rFonts w:ascii="Times New Roman" w:hAnsi="Times New Roman" w:cs="Times New Roman"/>
          <w:b/>
          <w:bCs/>
          <w:sz w:val="24"/>
          <w:szCs w:val="24"/>
        </w:rPr>
        <w:t>Figure (5): comparison between obese and non-obese in DPD (nmol/L)</w:t>
      </w:r>
    </w:p>
    <w:p w:rsidR="00104300" w:rsidRDefault="00104300" w:rsidP="005C473F">
      <w:pPr>
        <w:spacing w:after="0" w:line="360" w:lineRule="auto"/>
        <w:jc w:val="right"/>
        <w:rPr>
          <w:rFonts w:ascii="Times New Roman" w:hAnsi="Times New Roman" w:cs="Times New Roman"/>
          <w:b/>
          <w:bCs/>
          <w:sz w:val="32"/>
          <w:szCs w:val="32"/>
        </w:rPr>
      </w:pPr>
    </w:p>
    <w:p w:rsidR="00104300" w:rsidRPr="00E729CE" w:rsidRDefault="00104300" w:rsidP="005C473F">
      <w:pPr>
        <w:spacing w:after="0" w:line="360" w:lineRule="auto"/>
        <w:jc w:val="right"/>
        <w:rPr>
          <w:rFonts w:ascii="Times New Roman" w:hAnsi="Times New Roman" w:cs="Times New Roman"/>
          <w:b/>
          <w:bCs/>
          <w:sz w:val="32"/>
          <w:szCs w:val="32"/>
        </w:rPr>
      </w:pPr>
      <w:r>
        <w:rPr>
          <w:rFonts w:ascii="Times New Roman" w:hAnsi="Times New Roman" w:cs="Times New Roman"/>
          <w:b/>
          <w:bCs/>
          <w:sz w:val="32"/>
          <w:szCs w:val="32"/>
        </w:rPr>
        <w:t>Discussion:</w:t>
      </w:r>
    </w:p>
    <w:p w:rsidR="00104300" w:rsidRPr="008B0D4B" w:rsidRDefault="00104300" w:rsidP="005C473F">
      <w:pPr>
        <w:autoSpaceDE w:val="0"/>
        <w:autoSpaceDN w:val="0"/>
        <w:bidi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B0D4B">
        <w:rPr>
          <w:rFonts w:ascii="Times New Roman" w:hAnsi="Times New Roman" w:cs="Times New Roman"/>
          <w:color w:val="000000"/>
          <w:sz w:val="28"/>
          <w:szCs w:val="28"/>
        </w:rPr>
        <w:t xml:space="preserve">In modern society osteoporosis is a highly occurring disease and constitutes a public health concern due to its impact on public costs </w:t>
      </w:r>
      <w:r w:rsidRPr="008B0D4B">
        <w:rPr>
          <w:rFonts w:ascii="Times New Roman" w:hAnsi="Times New Roman" w:cs="Times New Roman"/>
          <w:b/>
          <w:bCs/>
          <w:color w:val="000000"/>
          <w:sz w:val="28"/>
          <w:szCs w:val="28"/>
        </w:rPr>
        <w:t>(National Osteoporosis Foundation, 2013).</w:t>
      </w:r>
    </w:p>
    <w:p w:rsidR="00104300" w:rsidRPr="008B0D4B" w:rsidRDefault="00104300" w:rsidP="005C473F">
      <w:pPr>
        <w:autoSpaceDE w:val="0"/>
        <w:autoSpaceDN w:val="0"/>
        <w:bidi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B0D4B">
        <w:rPr>
          <w:rFonts w:ascii="Times New Roman" w:hAnsi="Times New Roman" w:cs="Times New Roman"/>
          <w:color w:val="000000"/>
          <w:sz w:val="28"/>
          <w:szCs w:val="28"/>
        </w:rPr>
        <w:t xml:space="preserve">Childhood and adolescence are important phases of the human development during which the adult bone mass density is determined and, therefore, problems during this period of life could compromise bone health in adulthood </w:t>
      </w:r>
      <w:r w:rsidRPr="008B0D4B">
        <w:rPr>
          <w:rFonts w:ascii="Times New Roman" w:hAnsi="Times New Roman" w:cs="Times New Roman"/>
          <w:b/>
          <w:bCs/>
          <w:color w:val="000000"/>
          <w:sz w:val="28"/>
          <w:szCs w:val="28"/>
        </w:rPr>
        <w:t>(Junior et al</w:t>
      </w:r>
      <w:r>
        <w:rPr>
          <w:rFonts w:ascii="Times New Roman" w:hAnsi="Times New Roman" w:cs="Times New Roman"/>
          <w:b/>
          <w:bCs/>
          <w:color w:val="000000"/>
          <w:sz w:val="28"/>
          <w:szCs w:val="28"/>
        </w:rPr>
        <w:t>.</w:t>
      </w:r>
      <w:r w:rsidRPr="008B0D4B">
        <w:rPr>
          <w:rFonts w:ascii="Times New Roman" w:hAnsi="Times New Roman" w:cs="Times New Roman"/>
          <w:b/>
          <w:bCs/>
          <w:color w:val="000000"/>
          <w:sz w:val="28"/>
          <w:szCs w:val="28"/>
        </w:rPr>
        <w:t>, 2013).</w:t>
      </w:r>
    </w:p>
    <w:p w:rsidR="00104300" w:rsidRPr="008B0D4B" w:rsidRDefault="00104300" w:rsidP="005C473F">
      <w:pPr>
        <w:bidi w:val="0"/>
        <w:spacing w:after="0" w:line="360" w:lineRule="auto"/>
        <w:jc w:val="both"/>
        <w:rPr>
          <w:rFonts w:ascii="Times New Roman" w:hAnsi="Times New Roman" w:cs="Times New Roman"/>
          <w:b/>
          <w:bCs/>
          <w:sz w:val="28"/>
          <w:szCs w:val="28"/>
          <w:rtl/>
        </w:rPr>
      </w:pPr>
      <w:r>
        <w:rPr>
          <w:rFonts w:ascii="Times New Roman" w:hAnsi="Times New Roman" w:cs="Times New Roman"/>
          <w:b/>
          <w:bCs/>
          <w:sz w:val="28"/>
          <w:szCs w:val="28"/>
        </w:rPr>
        <w:t xml:space="preserve">   </w:t>
      </w:r>
      <w:r w:rsidRPr="008B0D4B">
        <w:rPr>
          <w:rFonts w:ascii="Times New Roman" w:hAnsi="Times New Roman" w:cs="Times New Roman"/>
          <w:color w:val="000000"/>
          <w:sz w:val="28"/>
          <w:szCs w:val="28"/>
          <w:shd w:val="clear" w:color="auto" w:fill="FFFFFF"/>
        </w:rPr>
        <w:t xml:space="preserve">Overweight and obesity may contribute to bone fractures in children; however, the mechanism involved is not clear </w:t>
      </w:r>
      <w:r w:rsidRPr="008B0D4B">
        <w:rPr>
          <w:rFonts w:ascii="Times New Roman" w:hAnsi="Times New Roman" w:cs="Times New Roman"/>
          <w:b/>
          <w:bCs/>
          <w:color w:val="000000"/>
          <w:sz w:val="28"/>
          <w:szCs w:val="28"/>
          <w:shd w:val="clear" w:color="auto" w:fill="FFFFFF"/>
        </w:rPr>
        <w:t>(Abou El-Soud et al</w:t>
      </w:r>
      <w:r>
        <w:rPr>
          <w:rFonts w:ascii="Times New Roman" w:hAnsi="Times New Roman" w:cs="Times New Roman"/>
          <w:b/>
          <w:bCs/>
          <w:color w:val="000000"/>
          <w:sz w:val="28"/>
          <w:szCs w:val="28"/>
          <w:shd w:val="clear" w:color="auto" w:fill="FFFFFF"/>
        </w:rPr>
        <w:t>.</w:t>
      </w:r>
      <w:r w:rsidRPr="008B0D4B">
        <w:rPr>
          <w:rFonts w:ascii="Times New Roman" w:hAnsi="Times New Roman" w:cs="Times New Roman"/>
          <w:b/>
          <w:bCs/>
          <w:color w:val="000000"/>
          <w:sz w:val="28"/>
          <w:szCs w:val="28"/>
          <w:shd w:val="clear" w:color="auto" w:fill="FFFFFF"/>
        </w:rPr>
        <w:t>, 2006).</w:t>
      </w:r>
    </w:p>
    <w:p w:rsidR="00104300" w:rsidRPr="008B0D4B" w:rsidRDefault="00104300" w:rsidP="005C473F">
      <w:pPr>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0D4B">
        <w:rPr>
          <w:rFonts w:ascii="Times New Roman" w:hAnsi="Times New Roman" w:cs="Times New Roman"/>
          <w:sz w:val="28"/>
          <w:szCs w:val="28"/>
        </w:rPr>
        <w:t>The distribution of the sample according to family history of obesity we found that family history is negative in 42.5% of controls, while it was positively related in 37.5% of cases. So, we can say that there is genetic predisposition of obesity.</w:t>
      </w:r>
    </w:p>
    <w:p w:rsidR="00104300" w:rsidRPr="008B0D4B" w:rsidRDefault="00104300" w:rsidP="005C4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B0D4B">
        <w:rPr>
          <w:rFonts w:ascii="Times New Roman" w:hAnsi="Times New Roman" w:cs="Times New Roman"/>
          <w:color w:val="000000"/>
          <w:sz w:val="28"/>
          <w:szCs w:val="28"/>
        </w:rPr>
        <w:t xml:space="preserve">The intergenerational relationship between parent and child obesity has been well described, </w:t>
      </w:r>
      <w:r w:rsidRPr="008B0D4B">
        <w:rPr>
          <w:rFonts w:ascii="Times New Roman" w:hAnsi="Times New Roman" w:cs="Times New Roman"/>
          <w:b/>
          <w:bCs/>
          <w:color w:val="000000"/>
          <w:sz w:val="28"/>
          <w:szCs w:val="28"/>
        </w:rPr>
        <w:t>Rhee et al</w:t>
      </w:r>
      <w:r>
        <w:rPr>
          <w:rFonts w:ascii="Times New Roman" w:hAnsi="Times New Roman" w:cs="Times New Roman"/>
          <w:b/>
          <w:bCs/>
          <w:color w:val="000000"/>
          <w:sz w:val="28"/>
          <w:szCs w:val="28"/>
        </w:rPr>
        <w:t>.</w:t>
      </w:r>
      <w:r w:rsidRPr="008B0D4B">
        <w:rPr>
          <w:rFonts w:ascii="Times New Roman" w:hAnsi="Times New Roman" w:cs="Times New Roman"/>
          <w:b/>
          <w:bCs/>
          <w:color w:val="000000"/>
          <w:sz w:val="28"/>
          <w:szCs w:val="28"/>
        </w:rPr>
        <w:t>, 2012</w:t>
      </w:r>
      <w:r w:rsidRPr="008B0D4B">
        <w:rPr>
          <w:rFonts w:ascii="Times New Roman" w:hAnsi="Times New Roman" w:cs="Times New Roman"/>
          <w:color w:val="000000"/>
          <w:sz w:val="28"/>
          <w:szCs w:val="28"/>
        </w:rPr>
        <w:t xml:space="preserve"> in a twin study have estimated that genes are responsible for 40–75% of the phenotypic variance of obesity. However, evolutionary changes in the genome cannot explain the tremendous increase in obesity prevalence over the past 30 years. Most likely, the genetic susceptibility to obesity has always existed, but is now becoming more evident due to the influence of the obesogenic environment. this is similar to the study of </w:t>
      </w:r>
      <w:r w:rsidRPr="008B0D4B">
        <w:rPr>
          <w:rFonts w:ascii="Times New Roman" w:hAnsi="Times New Roman" w:cs="Times New Roman"/>
          <w:sz w:val="28"/>
          <w:szCs w:val="28"/>
        </w:rPr>
        <w:t xml:space="preserve"> </w:t>
      </w:r>
      <w:r w:rsidRPr="008B0D4B">
        <w:rPr>
          <w:rFonts w:ascii="Times New Roman" w:hAnsi="Times New Roman" w:cs="Times New Roman"/>
          <w:b/>
          <w:bCs/>
          <w:sz w:val="28"/>
          <w:szCs w:val="28"/>
        </w:rPr>
        <w:t>Elkhayat et al</w:t>
      </w:r>
      <w:r>
        <w:rPr>
          <w:rFonts w:ascii="Times New Roman" w:hAnsi="Times New Roman" w:cs="Times New Roman"/>
          <w:b/>
          <w:bCs/>
          <w:sz w:val="28"/>
          <w:szCs w:val="28"/>
        </w:rPr>
        <w:t>.</w:t>
      </w:r>
      <w:r w:rsidRPr="008B0D4B">
        <w:rPr>
          <w:rFonts w:ascii="Times New Roman" w:hAnsi="Times New Roman" w:cs="Times New Roman"/>
          <w:b/>
          <w:bCs/>
          <w:sz w:val="28"/>
          <w:szCs w:val="28"/>
        </w:rPr>
        <w:t>, 2013</w:t>
      </w:r>
      <w:r w:rsidRPr="008B0D4B">
        <w:rPr>
          <w:rFonts w:ascii="Times New Roman" w:hAnsi="Times New Roman" w:cs="Times New Roman"/>
          <w:sz w:val="28"/>
          <w:szCs w:val="28"/>
        </w:rPr>
        <w:t>, who found that obese children group had significantly higher percentages of family history of obesity, as well as intake of junk food when compared to controls (P&lt;0.001).</w:t>
      </w:r>
      <w:r w:rsidRPr="008B0D4B">
        <w:rPr>
          <w:rFonts w:ascii="Times New Roman" w:hAnsi="Times New Roman" w:cs="Times New Roman"/>
          <w:color w:val="000000"/>
          <w:sz w:val="28"/>
          <w:szCs w:val="28"/>
        </w:rPr>
        <w:t xml:space="preserve"> Also, </w:t>
      </w:r>
      <w:r w:rsidRPr="008B0D4B">
        <w:rPr>
          <w:rFonts w:ascii="Times New Roman" w:hAnsi="Times New Roman" w:cs="Times New Roman"/>
          <w:b/>
          <w:bCs/>
          <w:color w:val="000000"/>
          <w:sz w:val="28"/>
          <w:szCs w:val="28"/>
        </w:rPr>
        <w:t>Moreira et al</w:t>
      </w:r>
      <w:r>
        <w:rPr>
          <w:rFonts w:ascii="Times New Roman" w:hAnsi="Times New Roman" w:cs="Times New Roman"/>
          <w:b/>
          <w:bCs/>
          <w:color w:val="000000"/>
          <w:sz w:val="28"/>
          <w:szCs w:val="28"/>
        </w:rPr>
        <w:t>.</w:t>
      </w:r>
      <w:r w:rsidRPr="008B0D4B">
        <w:rPr>
          <w:rFonts w:ascii="Times New Roman" w:hAnsi="Times New Roman" w:cs="Times New Roman"/>
          <w:b/>
          <w:bCs/>
          <w:color w:val="000000"/>
          <w:sz w:val="28"/>
          <w:szCs w:val="28"/>
        </w:rPr>
        <w:t>, 2007</w:t>
      </w:r>
      <w:r w:rsidRPr="008B0D4B">
        <w:rPr>
          <w:rFonts w:ascii="Times New Roman" w:hAnsi="Times New Roman" w:cs="Times New Roman"/>
          <w:color w:val="000000"/>
          <w:sz w:val="28"/>
          <w:szCs w:val="28"/>
        </w:rPr>
        <w:t xml:space="preserve"> showed that overweight parents are more likely to have overweight children. The incidence of obesity in children was 6% if both parents were non obese, while it rises to 22.7% if one parent is obese and to 30.8% if both parents were obese and  maternal obesity was associated with increased birth weight and direct measures of fatness such as skin folds are also greater in newborn infants of obese mothers.</w:t>
      </w:r>
    </w:p>
    <w:p w:rsidR="00104300" w:rsidRPr="008B0D4B" w:rsidRDefault="00104300" w:rsidP="005C473F">
      <w:pPr>
        <w:bidi w:val="0"/>
        <w:spacing w:after="0" w:line="360" w:lineRule="auto"/>
        <w:jc w:val="both"/>
        <w:rPr>
          <w:rFonts w:ascii="Times New Roman" w:hAnsi="Times New Roman" w:cs="Times New Roman"/>
          <w:sz w:val="28"/>
          <w:szCs w:val="28"/>
          <w:rtl/>
        </w:rPr>
      </w:pPr>
      <w:r>
        <w:rPr>
          <w:rFonts w:ascii="Times New Roman" w:hAnsi="Times New Roman" w:cs="Times New Roman"/>
          <w:sz w:val="28"/>
          <w:szCs w:val="28"/>
        </w:rPr>
        <w:t xml:space="preserve">    </w:t>
      </w:r>
      <w:r w:rsidRPr="008B0D4B">
        <w:rPr>
          <w:rFonts w:ascii="Times New Roman" w:hAnsi="Times New Roman" w:cs="Times New Roman"/>
          <w:sz w:val="28"/>
          <w:szCs w:val="28"/>
        </w:rPr>
        <w:t>As regards the Age and anthropometric measurements of the studied sample, all variables showed significant increase in obese children in comparison to control group except for the height.  We found statistically significant difference (p&lt;0.01) between obese and non-obese children as regards weight where the (Mean ±SD was 55.45±11.68) in obese and was 32.83±8.57) in non-obese group. And for the BMI, (Mean ±SD was 18.64±2.75) in obese and was (31.03±3.75) in the non-obese.</w:t>
      </w:r>
    </w:p>
    <w:p w:rsidR="00104300" w:rsidRPr="008B0D4B" w:rsidRDefault="00104300" w:rsidP="005C473F">
      <w:pPr>
        <w:shd w:val="clear" w:color="auto" w:fill="FFFFFF"/>
        <w:bidi w:val="0"/>
        <w:spacing w:after="0" w:line="360" w:lineRule="auto"/>
        <w:jc w:val="both"/>
        <w:textAlignment w:val="baseline"/>
        <w:rPr>
          <w:rFonts w:ascii="Times New Roman" w:hAnsi="Times New Roman" w:cs="Times New Roman"/>
          <w:color w:val="333333"/>
          <w:sz w:val="28"/>
          <w:szCs w:val="28"/>
        </w:rPr>
      </w:pPr>
      <w:r>
        <w:rPr>
          <w:rFonts w:ascii="Times New Roman" w:hAnsi="Times New Roman" w:cs="Times New Roman"/>
          <w:color w:val="0D0D0D"/>
          <w:sz w:val="28"/>
          <w:szCs w:val="28"/>
          <w:bdr w:val="none" w:sz="0" w:space="0" w:color="auto" w:frame="1"/>
        </w:rPr>
        <w:t xml:space="preserve">    </w:t>
      </w:r>
      <w:r w:rsidRPr="008B0D4B">
        <w:rPr>
          <w:rFonts w:ascii="Times New Roman" w:hAnsi="Times New Roman" w:cs="Times New Roman"/>
          <w:color w:val="0D0D0D"/>
          <w:sz w:val="28"/>
          <w:szCs w:val="28"/>
          <w:bdr w:val="none" w:sz="0" w:space="0" w:color="auto" w:frame="1"/>
        </w:rPr>
        <w:t>BMI provides the most useful population-level measure of overweight and obesity as it is the same for both sexes and for all ages of adults. However, it should be considered a rough guide because it may not correspond to the same degree of fatness in different individuals</w:t>
      </w:r>
      <w:r w:rsidRPr="008B0D4B">
        <w:rPr>
          <w:rFonts w:ascii="Times New Roman" w:hAnsi="Times New Roman" w:cs="Times New Roman"/>
          <w:b/>
          <w:bCs/>
          <w:sz w:val="28"/>
          <w:szCs w:val="28"/>
        </w:rPr>
        <w:t xml:space="preserve"> (WHO, 2012).</w:t>
      </w:r>
    </w:p>
    <w:p w:rsidR="00104300" w:rsidRDefault="00104300" w:rsidP="005C4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textAlignment w:val="baseline"/>
        <w:rPr>
          <w:rFonts w:ascii="Times New Roman" w:hAnsi="Times New Roman" w:cs="Times New Roman"/>
          <w:b/>
          <w:bCs/>
          <w:color w:val="000000"/>
          <w:sz w:val="28"/>
          <w:szCs w:val="28"/>
        </w:rPr>
      </w:pPr>
      <w:r>
        <w:rPr>
          <w:rFonts w:ascii="Times New Roman" w:hAnsi="Times New Roman" w:cs="Times New Roman"/>
          <w:color w:val="333333"/>
          <w:sz w:val="28"/>
          <w:szCs w:val="28"/>
        </w:rPr>
        <w:t xml:space="preserve">    </w:t>
      </w:r>
      <w:r w:rsidRPr="008B0D4B">
        <w:rPr>
          <w:rFonts w:ascii="Times New Roman" w:hAnsi="Times New Roman" w:cs="Times New Roman"/>
          <w:sz w:val="28"/>
          <w:szCs w:val="28"/>
        </w:rPr>
        <w:t xml:space="preserve">This is similar to the study of </w:t>
      </w:r>
      <w:r w:rsidRPr="008B0D4B">
        <w:rPr>
          <w:rFonts w:ascii="Times New Roman" w:hAnsi="Times New Roman" w:cs="Times New Roman"/>
          <w:b/>
          <w:bCs/>
          <w:sz w:val="28"/>
          <w:szCs w:val="28"/>
        </w:rPr>
        <w:t>Elkhayat et al</w:t>
      </w:r>
      <w:r>
        <w:rPr>
          <w:rFonts w:ascii="Times New Roman" w:hAnsi="Times New Roman" w:cs="Times New Roman"/>
          <w:b/>
          <w:bCs/>
          <w:sz w:val="28"/>
          <w:szCs w:val="28"/>
        </w:rPr>
        <w:t>.</w:t>
      </w:r>
      <w:r w:rsidRPr="008B0D4B">
        <w:rPr>
          <w:rFonts w:ascii="Times New Roman" w:hAnsi="Times New Roman" w:cs="Times New Roman"/>
          <w:b/>
          <w:bCs/>
          <w:sz w:val="28"/>
          <w:szCs w:val="28"/>
        </w:rPr>
        <w:t>, 2013</w:t>
      </w:r>
      <w:r w:rsidRPr="008B0D4B">
        <w:rPr>
          <w:rFonts w:ascii="Times New Roman" w:hAnsi="Times New Roman" w:cs="Times New Roman"/>
          <w:sz w:val="28"/>
          <w:szCs w:val="28"/>
        </w:rPr>
        <w:t xml:space="preserve"> which showed significantly higher mean values of weight, weight for age, BMI, waist, hip and mid upper arm circumferences, waist: hip ratio as well as biceps, triceps, subscapular, suprailiac and abdominal skin folds thickness among cases than controls,</w:t>
      </w:r>
      <w:r>
        <w:rPr>
          <w:rFonts w:ascii="Times New Roman" w:hAnsi="Times New Roman" w:cs="Times New Roman"/>
          <w:sz w:val="28"/>
          <w:szCs w:val="28"/>
        </w:rPr>
        <w:t xml:space="preserve"> </w:t>
      </w:r>
      <w:r w:rsidRPr="008B0D4B">
        <w:rPr>
          <w:rFonts w:ascii="Times New Roman" w:hAnsi="Times New Roman" w:cs="Times New Roman"/>
          <w:sz w:val="28"/>
          <w:szCs w:val="28"/>
        </w:rPr>
        <w:t>also,</w:t>
      </w:r>
      <w:r w:rsidRPr="008B0D4B">
        <w:rPr>
          <w:rFonts w:ascii="Times New Roman" w:hAnsi="Times New Roman" w:cs="Times New Roman"/>
          <w:b/>
          <w:bCs/>
          <w:color w:val="000000"/>
          <w:sz w:val="28"/>
          <w:szCs w:val="28"/>
        </w:rPr>
        <w:t xml:space="preserve"> Salem et al. (2002)</w:t>
      </w:r>
      <w:r w:rsidRPr="008B0D4B">
        <w:rPr>
          <w:rFonts w:ascii="Times New Roman" w:hAnsi="Times New Roman" w:cs="Times New Roman"/>
          <w:color w:val="000000"/>
          <w:sz w:val="28"/>
          <w:szCs w:val="28"/>
        </w:rPr>
        <w:t xml:space="preserve"> recommended that BMI should be used routinely to screen for overweight and obesity in children and adolescents as it is easy to use in a clinical setting and correlates with subcutaneous and total body fat.</w:t>
      </w:r>
    </w:p>
    <w:p w:rsidR="00104300" w:rsidRPr="00AA6277" w:rsidRDefault="00104300" w:rsidP="005C4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textAlignment w:val="baseline"/>
        <w:rPr>
          <w:rFonts w:ascii="Times New Roman" w:hAnsi="Times New Roman" w:cs="Times New Roman"/>
          <w:b/>
          <w:bCs/>
          <w:sz w:val="28"/>
          <w:szCs w:val="28"/>
        </w:rPr>
      </w:pPr>
      <w:r>
        <w:rPr>
          <w:rFonts w:ascii="Times New Roman" w:hAnsi="Times New Roman" w:cs="Times New Roman"/>
          <w:b/>
          <w:bCs/>
          <w:color w:val="000000"/>
          <w:sz w:val="28"/>
          <w:szCs w:val="28"/>
        </w:rPr>
        <w:t xml:space="preserve">    </w:t>
      </w:r>
      <w:r w:rsidRPr="008B0D4B">
        <w:rPr>
          <w:rFonts w:ascii="Times New Roman" w:hAnsi="Times New Roman" w:cs="Times New Roman"/>
          <w:sz w:val="28"/>
          <w:szCs w:val="28"/>
        </w:rPr>
        <w:t xml:space="preserve">These results are in accordance with the fact that anthropometric measurements are accepted sensitive indicators of growth patterns, obesity </w:t>
      </w:r>
      <w:r w:rsidRPr="00AA6277">
        <w:rPr>
          <w:rFonts w:ascii="Times New Roman" w:hAnsi="Times New Roman" w:cs="Times New Roman"/>
          <w:sz w:val="28"/>
          <w:szCs w:val="28"/>
        </w:rPr>
        <w:t xml:space="preserve">and health status of a child </w:t>
      </w:r>
      <w:r w:rsidRPr="00AA6277">
        <w:rPr>
          <w:rFonts w:ascii="Times New Roman" w:hAnsi="Times New Roman" w:cs="Times New Roman"/>
          <w:b/>
          <w:bCs/>
          <w:sz w:val="28"/>
          <w:szCs w:val="28"/>
        </w:rPr>
        <w:t>(Chatterjee et al., 2006).</w:t>
      </w:r>
    </w:p>
    <w:p w:rsidR="00104300" w:rsidRPr="009F2D12" w:rsidRDefault="00104300" w:rsidP="00AA62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textAlignment w:val="baseline"/>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8B0D4B">
        <w:rPr>
          <w:rFonts w:ascii="Times New Roman" w:hAnsi="Times New Roman" w:cs="Times New Roman"/>
          <w:color w:val="000000"/>
          <w:sz w:val="28"/>
          <w:szCs w:val="28"/>
        </w:rPr>
        <w:t>Our results showed that, all anthropometric parameters are increased (except for height) in obese children, that means that there is a positive relation between obesity and body composition especially body fat. This result is similar to that obtained by</w:t>
      </w:r>
      <w:r w:rsidRPr="008B0D4B">
        <w:rPr>
          <w:rFonts w:ascii="Times New Roman" w:hAnsi="Times New Roman" w:cs="Times New Roman"/>
          <w:b/>
          <w:bCs/>
          <w:color w:val="000000"/>
          <w:sz w:val="28"/>
          <w:szCs w:val="28"/>
        </w:rPr>
        <w:t xml:space="preserve"> Cobayashi et al</w:t>
      </w:r>
      <w:r>
        <w:rPr>
          <w:rFonts w:ascii="Times New Roman" w:hAnsi="Times New Roman" w:cs="Times New Roman"/>
          <w:b/>
          <w:bCs/>
          <w:color w:val="000000"/>
          <w:sz w:val="28"/>
          <w:szCs w:val="28"/>
        </w:rPr>
        <w:t>.</w:t>
      </w:r>
      <w:r w:rsidRPr="008B0D4B">
        <w:rPr>
          <w:rFonts w:ascii="Times New Roman" w:hAnsi="Times New Roman" w:cs="Times New Roman"/>
          <w:b/>
          <w:bCs/>
          <w:color w:val="000000"/>
          <w:sz w:val="28"/>
          <w:szCs w:val="28"/>
        </w:rPr>
        <w:t>, 2005 and Abou El-Soud et al</w:t>
      </w:r>
      <w:r>
        <w:rPr>
          <w:rFonts w:ascii="Times New Roman" w:hAnsi="Times New Roman" w:cs="Times New Roman"/>
          <w:b/>
          <w:bCs/>
          <w:color w:val="000000"/>
          <w:sz w:val="28"/>
          <w:szCs w:val="28"/>
        </w:rPr>
        <w:t>.</w:t>
      </w:r>
      <w:r w:rsidRPr="008B0D4B">
        <w:rPr>
          <w:rFonts w:ascii="Times New Roman" w:hAnsi="Times New Roman" w:cs="Times New Roman"/>
          <w:b/>
          <w:bCs/>
          <w:color w:val="000000"/>
          <w:sz w:val="28"/>
          <w:szCs w:val="28"/>
        </w:rPr>
        <w:t>, 2006</w:t>
      </w:r>
      <w:r w:rsidRPr="008B0D4B">
        <w:rPr>
          <w:rFonts w:ascii="Times New Roman" w:hAnsi="Times New Roman" w:cs="Times New Roman"/>
          <w:color w:val="000000"/>
          <w:sz w:val="28"/>
          <w:szCs w:val="28"/>
        </w:rPr>
        <w:t xml:space="preserve"> where they found that obesity in children and adolescents was accompanied by increased regional and perhaps total bone measurements. In contrast with our findings, other investigators have reported normal </w:t>
      </w:r>
      <w:r w:rsidRPr="008B0D4B">
        <w:rPr>
          <w:rFonts w:ascii="Times New Roman" w:hAnsi="Times New Roman" w:cs="Times New Roman"/>
          <w:b/>
          <w:bCs/>
          <w:color w:val="000000"/>
          <w:sz w:val="28"/>
          <w:szCs w:val="28"/>
        </w:rPr>
        <w:t>(Manzoni et al</w:t>
      </w:r>
      <w:r>
        <w:rPr>
          <w:rFonts w:ascii="Times New Roman" w:hAnsi="Times New Roman" w:cs="Times New Roman"/>
          <w:b/>
          <w:bCs/>
          <w:color w:val="000000"/>
          <w:sz w:val="28"/>
          <w:szCs w:val="28"/>
        </w:rPr>
        <w:t>.</w:t>
      </w:r>
      <w:r w:rsidRPr="008B0D4B">
        <w:rPr>
          <w:rFonts w:ascii="Times New Roman" w:hAnsi="Times New Roman" w:cs="Times New Roman"/>
          <w:b/>
          <w:bCs/>
          <w:color w:val="000000"/>
          <w:sz w:val="28"/>
          <w:szCs w:val="28"/>
        </w:rPr>
        <w:t xml:space="preserve">, 1996) </w:t>
      </w:r>
      <w:r w:rsidRPr="008B0D4B">
        <w:rPr>
          <w:rFonts w:ascii="Times New Roman" w:hAnsi="Times New Roman" w:cs="Times New Roman"/>
          <w:color w:val="000000"/>
          <w:sz w:val="28"/>
          <w:szCs w:val="28"/>
        </w:rPr>
        <w:t xml:space="preserve">or decreased </w:t>
      </w:r>
      <w:r w:rsidRPr="008B0D4B">
        <w:rPr>
          <w:rFonts w:ascii="Times New Roman" w:hAnsi="Times New Roman" w:cs="Times New Roman"/>
          <w:b/>
          <w:bCs/>
          <w:color w:val="000000"/>
          <w:sz w:val="28"/>
          <w:szCs w:val="28"/>
        </w:rPr>
        <w:t>(Goulding et al</w:t>
      </w:r>
      <w:r>
        <w:rPr>
          <w:rFonts w:ascii="Times New Roman" w:hAnsi="Times New Roman" w:cs="Times New Roman"/>
          <w:b/>
          <w:bCs/>
          <w:color w:val="000000"/>
          <w:sz w:val="28"/>
          <w:szCs w:val="28"/>
        </w:rPr>
        <w:t>.</w:t>
      </w:r>
      <w:r w:rsidRPr="008B0D4B">
        <w:rPr>
          <w:rFonts w:ascii="Times New Roman" w:hAnsi="Times New Roman" w:cs="Times New Roman"/>
          <w:b/>
          <w:bCs/>
          <w:color w:val="000000"/>
          <w:sz w:val="28"/>
          <w:szCs w:val="28"/>
        </w:rPr>
        <w:t>, 2000)</w:t>
      </w:r>
      <w:r w:rsidRPr="008B0D4B">
        <w:rPr>
          <w:rFonts w:ascii="Times New Roman" w:hAnsi="Times New Roman" w:cs="Times New Roman"/>
          <w:color w:val="000000"/>
          <w:sz w:val="28"/>
          <w:szCs w:val="28"/>
        </w:rPr>
        <w:t xml:space="preserve"> anthropometric parameters. Also,</w:t>
      </w:r>
      <w:r w:rsidRPr="008B0D4B">
        <w:rPr>
          <w:rFonts w:ascii="Times New Roman" w:hAnsi="Times New Roman" w:cs="Times New Roman"/>
          <w:b/>
          <w:bCs/>
          <w:sz w:val="28"/>
          <w:szCs w:val="28"/>
        </w:rPr>
        <w:t xml:space="preserve"> Elkhayat et al</w:t>
      </w:r>
      <w:r>
        <w:rPr>
          <w:rFonts w:ascii="Times New Roman" w:hAnsi="Times New Roman" w:cs="Times New Roman"/>
          <w:b/>
          <w:bCs/>
          <w:sz w:val="28"/>
          <w:szCs w:val="28"/>
        </w:rPr>
        <w:t>.</w:t>
      </w:r>
      <w:r w:rsidRPr="008B0D4B">
        <w:rPr>
          <w:rFonts w:ascii="Times New Roman" w:hAnsi="Times New Roman" w:cs="Times New Roman"/>
          <w:b/>
          <w:bCs/>
          <w:sz w:val="28"/>
          <w:szCs w:val="28"/>
        </w:rPr>
        <w:t>, 2013</w:t>
      </w:r>
      <w:r w:rsidRPr="008B0D4B">
        <w:rPr>
          <w:rFonts w:ascii="Times New Roman" w:hAnsi="Times New Roman" w:cs="Times New Roman"/>
          <w:sz w:val="28"/>
          <w:szCs w:val="28"/>
        </w:rPr>
        <w:t xml:space="preserve"> found that there were no significant differences between cases and controls in the mean height and height for age (P&gt;0.05), whereas, overweight and obese group showed significantly higher mean values of weight, weight for age, BMI, z-score of BMI, waist and hip circumferences, waist: hip ratio and biceps, triceps, subscapular, suprailiac and abdominal skin folds when compared to controls (P&lt;0.001).</w:t>
      </w:r>
    </w:p>
    <w:p w:rsidR="00104300" w:rsidRPr="008B0D4B" w:rsidRDefault="00104300" w:rsidP="005C473F">
      <w:pPr>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0D4B">
        <w:rPr>
          <w:rFonts w:ascii="Times New Roman" w:hAnsi="Times New Roman" w:cs="Times New Roman"/>
          <w:sz w:val="28"/>
          <w:szCs w:val="28"/>
        </w:rPr>
        <w:t>Osteocalcin which was used in our research as a bone formation marker was found to be significantly decreased in obese children in comparison to non-obese children. While the urinary DPD which was used as bone turnover marker showed no significant difference between obese and non-obese groups although it was high in obese children but not to the degree to be significant.</w:t>
      </w:r>
    </w:p>
    <w:p w:rsidR="00104300" w:rsidRPr="008B0D4B" w:rsidRDefault="00104300" w:rsidP="005C473F">
      <w:pPr>
        <w:autoSpaceDE w:val="0"/>
        <w:autoSpaceDN w:val="0"/>
        <w:bidi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8B0D4B">
        <w:rPr>
          <w:rFonts w:ascii="Times New Roman" w:hAnsi="Times New Roman" w:cs="Times New Roman"/>
          <w:sz w:val="28"/>
          <w:szCs w:val="28"/>
        </w:rPr>
        <w:t>The bone resorption marker deoxypyridinoline</w:t>
      </w:r>
      <w:r>
        <w:rPr>
          <w:rFonts w:ascii="Times New Roman" w:hAnsi="Times New Roman" w:cs="Times New Roman"/>
          <w:sz w:val="28"/>
          <w:szCs w:val="28"/>
        </w:rPr>
        <w:t xml:space="preserve"> (</w:t>
      </w:r>
      <w:r w:rsidRPr="008B0D4B">
        <w:rPr>
          <w:rFonts w:ascii="Times New Roman" w:hAnsi="Times New Roman" w:cs="Times New Roman"/>
          <w:sz w:val="28"/>
          <w:szCs w:val="28"/>
        </w:rPr>
        <w:t xml:space="preserve">DPD) reflects the level of osteoclastic activity in the bone-remodeling process. Accelerated osteoclastic activity increases bone turnover.  Elevated levels of resorption markers indicate increased osteoclastic activity and a higher risk for osteoporotic hip fracture, independent of BMD.  Even when BMD is not in the osteoporotic range, increases in urine DPD indicate increased osteoclastic-bone resorption and risk for fracture </w:t>
      </w:r>
      <w:r w:rsidRPr="008B0D4B">
        <w:rPr>
          <w:rFonts w:ascii="Times New Roman" w:hAnsi="Times New Roman" w:cs="Times New Roman"/>
          <w:b/>
          <w:bCs/>
          <w:sz w:val="28"/>
          <w:szCs w:val="28"/>
        </w:rPr>
        <w:t>(McCormic, 2007).</w:t>
      </w:r>
    </w:p>
    <w:p w:rsidR="00104300" w:rsidRPr="008B0D4B" w:rsidRDefault="00104300" w:rsidP="005C473F">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8B0D4B">
        <w:rPr>
          <w:rFonts w:ascii="Times New Roman" w:hAnsi="Times New Roman" w:cs="Times New Roman"/>
          <w:color w:val="000000"/>
          <w:sz w:val="28"/>
          <w:szCs w:val="28"/>
        </w:rPr>
        <w:t xml:space="preserve">DPD levels are influenced by muscle-collagen breakdown. Using serial testing of DPD to evaluate for therapeutic efficacy may not provide a useful indicator of bone resorption </w:t>
      </w:r>
      <w:r w:rsidRPr="008B0D4B">
        <w:rPr>
          <w:rFonts w:ascii="Times New Roman" w:hAnsi="Times New Roman" w:cs="Times New Roman"/>
          <w:b/>
          <w:bCs/>
          <w:sz w:val="28"/>
          <w:szCs w:val="28"/>
        </w:rPr>
        <w:t>(McCormic, 2007).</w:t>
      </w:r>
    </w:p>
    <w:p w:rsidR="00104300" w:rsidRPr="008B0D4B" w:rsidRDefault="00104300" w:rsidP="005C473F">
      <w:pPr>
        <w:bidi w:val="0"/>
        <w:spacing w:after="0" w:line="360" w:lineRule="auto"/>
        <w:jc w:val="both"/>
        <w:rPr>
          <w:rFonts w:ascii="Times New Roman" w:hAnsi="Times New Roman" w:cs="Times New Roman"/>
          <w:sz w:val="28"/>
          <w:szCs w:val="28"/>
          <w:rtl/>
        </w:rPr>
      </w:pPr>
      <w:r>
        <w:rPr>
          <w:rFonts w:ascii="Times New Roman" w:hAnsi="Times New Roman" w:cs="Times New Roman"/>
          <w:b/>
          <w:bCs/>
          <w:sz w:val="28"/>
          <w:szCs w:val="28"/>
        </w:rPr>
        <w:t xml:space="preserve">    </w:t>
      </w:r>
      <w:r w:rsidRPr="008B0D4B">
        <w:rPr>
          <w:rFonts w:ascii="Times New Roman" w:hAnsi="Times New Roman" w:cs="Times New Roman"/>
          <w:color w:val="000000"/>
          <w:sz w:val="28"/>
          <w:szCs w:val="28"/>
          <w:shd w:val="clear" w:color="auto" w:fill="FFFFFF"/>
        </w:rPr>
        <w:t>Our</w:t>
      </w:r>
      <w:r w:rsidRPr="008B0D4B">
        <w:rPr>
          <w:rFonts w:ascii="Times New Roman" w:hAnsi="Times New Roman" w:cs="Times New Roman"/>
          <w:b/>
          <w:bCs/>
          <w:color w:val="000000"/>
          <w:sz w:val="28"/>
          <w:szCs w:val="28"/>
          <w:shd w:val="clear" w:color="auto" w:fill="FFFFFF"/>
        </w:rPr>
        <w:t xml:space="preserve"> </w:t>
      </w:r>
      <w:r w:rsidRPr="008B0D4B">
        <w:rPr>
          <w:rFonts w:ascii="Times New Roman" w:hAnsi="Times New Roman" w:cs="Times New Roman"/>
          <w:color w:val="000000"/>
          <w:sz w:val="28"/>
          <w:szCs w:val="28"/>
          <w:shd w:val="clear" w:color="auto" w:fill="FFFFFF"/>
        </w:rPr>
        <w:t xml:space="preserve">results were similar to </w:t>
      </w:r>
      <w:r w:rsidRPr="008B0D4B">
        <w:rPr>
          <w:rFonts w:ascii="Times New Roman" w:hAnsi="Times New Roman" w:cs="Times New Roman"/>
          <w:b/>
          <w:bCs/>
          <w:color w:val="000000"/>
          <w:sz w:val="28"/>
          <w:szCs w:val="28"/>
          <w:shd w:val="clear" w:color="auto" w:fill="FFFFFF"/>
        </w:rPr>
        <w:t>Wang et al</w:t>
      </w:r>
      <w:r>
        <w:rPr>
          <w:rFonts w:ascii="Times New Roman" w:hAnsi="Times New Roman" w:cs="Times New Roman"/>
          <w:b/>
          <w:bCs/>
          <w:color w:val="000000"/>
          <w:sz w:val="28"/>
          <w:szCs w:val="28"/>
          <w:shd w:val="clear" w:color="auto" w:fill="FFFFFF"/>
        </w:rPr>
        <w:t>.</w:t>
      </w:r>
      <w:r w:rsidRPr="008B0D4B">
        <w:rPr>
          <w:rFonts w:ascii="Times New Roman" w:hAnsi="Times New Roman" w:cs="Times New Roman"/>
          <w:b/>
          <w:bCs/>
          <w:color w:val="000000"/>
          <w:sz w:val="28"/>
          <w:szCs w:val="28"/>
          <w:shd w:val="clear" w:color="auto" w:fill="FFFFFF"/>
        </w:rPr>
        <w:t>, 2013</w:t>
      </w:r>
      <w:r w:rsidRPr="008B0D4B">
        <w:rPr>
          <w:rFonts w:ascii="Times New Roman" w:hAnsi="Times New Roman" w:cs="Times New Roman"/>
          <w:color w:val="000000"/>
          <w:sz w:val="28"/>
          <w:szCs w:val="28"/>
          <w:shd w:val="clear" w:color="auto" w:fill="FFFFFF"/>
        </w:rPr>
        <w:t xml:space="preserve"> who found that serum Osteocalcin levels were negatively correlated with fat percentage and visceral fat area (r</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-0.24 and r</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-0.46, respectively, P</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&lt;</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0.05); however, no statistically significant association was found between obesity degree and serum Osteocalcin levels (r</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-0.29, P</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0.052). In addition, serum Osteocalcin levels were significantly lower in obese (44.46</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9.73</w:t>
      </w:r>
      <w:r w:rsidRPr="008B0D4B">
        <w:rPr>
          <w:rFonts w:ascii="Arial Unicode MS" w:eastAsia="Arial Unicode MS" w:hAnsi="Arial Unicode MS" w:cs="Arial Unicode MS" w:hint="eastAsia"/>
          <w:color w:val="000000"/>
          <w:sz w:val="28"/>
          <w:szCs w:val="28"/>
          <w:shd w:val="clear" w:color="auto" w:fill="FFFFFF"/>
        </w:rPr>
        <w:t> </w:t>
      </w:r>
      <w:r w:rsidRPr="008B0D4B">
        <w:rPr>
          <w:rFonts w:ascii="Times New Roman" w:hAnsi="Times New Roman" w:cs="Times New Roman"/>
          <w:color w:val="000000"/>
          <w:sz w:val="28"/>
          <w:szCs w:val="28"/>
          <w:shd w:val="clear" w:color="auto" w:fill="FFFFFF"/>
        </w:rPr>
        <w:t xml:space="preserve">μg/ml). </w:t>
      </w:r>
      <w:r>
        <w:rPr>
          <w:rFonts w:ascii="Times New Roman" w:hAnsi="Times New Roman" w:cs="Times New Roman"/>
          <w:color w:val="000000"/>
          <w:sz w:val="28"/>
          <w:szCs w:val="28"/>
          <w:shd w:val="clear" w:color="auto" w:fill="FFFFFF"/>
        </w:rPr>
        <w:t xml:space="preserve">     </w:t>
      </w:r>
      <w:r w:rsidRPr="008B0D4B">
        <w:rPr>
          <w:rFonts w:ascii="Times New Roman" w:hAnsi="Times New Roman" w:cs="Times New Roman"/>
          <w:color w:val="000000"/>
          <w:sz w:val="28"/>
          <w:szCs w:val="28"/>
          <w:shd w:val="clear" w:color="auto" w:fill="FFFFFF"/>
        </w:rPr>
        <w:t>These findings indicate that body composition is related to serum Osteocalcin levels in obese children.</w:t>
      </w:r>
      <w:r w:rsidRPr="008B0D4B">
        <w:rPr>
          <w:rFonts w:ascii="Times New Roman" w:hAnsi="Times New Roman" w:cs="Times New Roman"/>
          <w:color w:val="000000"/>
          <w:sz w:val="28"/>
          <w:szCs w:val="28"/>
        </w:rPr>
        <w:t xml:space="preserve"> Also,</w:t>
      </w:r>
      <w:r w:rsidRPr="008B0D4B">
        <w:rPr>
          <w:rFonts w:ascii="Times New Roman" w:hAnsi="Times New Roman" w:cs="Times New Roman"/>
          <w:sz w:val="28"/>
          <w:szCs w:val="28"/>
        </w:rPr>
        <w:t xml:space="preserve"> </w:t>
      </w:r>
      <w:r w:rsidRPr="008B0D4B">
        <w:rPr>
          <w:rFonts w:ascii="Times New Roman" w:hAnsi="Times New Roman" w:cs="Times New Roman"/>
          <w:b/>
          <w:bCs/>
          <w:color w:val="000000"/>
          <w:sz w:val="28"/>
          <w:szCs w:val="28"/>
          <w:shd w:val="clear" w:color="auto" w:fill="FFFFFF"/>
        </w:rPr>
        <w:t>Gwang et al</w:t>
      </w:r>
      <w:r>
        <w:rPr>
          <w:rFonts w:ascii="Times New Roman" w:hAnsi="Times New Roman" w:cs="Times New Roman"/>
          <w:b/>
          <w:bCs/>
          <w:color w:val="000000"/>
          <w:sz w:val="28"/>
          <w:szCs w:val="28"/>
          <w:shd w:val="clear" w:color="auto" w:fill="FFFFFF"/>
        </w:rPr>
        <w:t>.</w:t>
      </w:r>
      <w:r w:rsidRPr="008B0D4B">
        <w:rPr>
          <w:rFonts w:ascii="Times New Roman" w:hAnsi="Times New Roman" w:cs="Times New Roman"/>
          <w:b/>
          <w:bCs/>
          <w:color w:val="000000"/>
          <w:sz w:val="28"/>
          <w:szCs w:val="28"/>
          <w:shd w:val="clear" w:color="auto" w:fill="FFFFFF"/>
        </w:rPr>
        <w:t>, 2013</w:t>
      </w:r>
      <w:r w:rsidRPr="008B0D4B">
        <w:rPr>
          <w:rFonts w:ascii="Times New Roman" w:hAnsi="Times New Roman" w:cs="Times New Roman"/>
          <w:color w:val="000000"/>
          <w:sz w:val="28"/>
          <w:szCs w:val="28"/>
          <w:shd w:val="clear" w:color="auto" w:fill="FFFFFF"/>
        </w:rPr>
        <w:t>, found that, serum total Osteocalcin levels were significantly lower in overweight or obese children (76.96</w:t>
      </w:r>
      <w:r w:rsidRPr="006A6B3F">
        <w:rPr>
          <w:rFonts w:ascii="Times New Roman" w:hAnsi="Times New Roman" w:cs="Times New Roman"/>
          <w:noProof/>
          <w:color w:val="000000"/>
          <w:sz w:val="28"/>
          <w:szCs w:val="28"/>
        </w:rPr>
        <w:pict>
          <v:shape id="Picture 7" o:spid="_x0000_i1030"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w:t>
      </w:r>
      <w:r w:rsidRPr="006A6B3F">
        <w:rPr>
          <w:rFonts w:ascii="Times New Roman" w:hAnsi="Times New Roman" w:cs="Times New Roman"/>
          <w:noProof/>
          <w:color w:val="000000"/>
          <w:sz w:val="28"/>
          <w:szCs w:val="28"/>
        </w:rPr>
        <w:pict>
          <v:shape id="Picture 8" o:spid="_x0000_i1031"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27.08</w:t>
      </w:r>
      <w:r w:rsidRPr="006A6B3F">
        <w:rPr>
          <w:rFonts w:ascii="Times New Roman" w:hAnsi="Times New Roman" w:cs="Times New Roman"/>
          <w:noProof/>
          <w:color w:val="000000"/>
          <w:sz w:val="28"/>
          <w:szCs w:val="28"/>
        </w:rPr>
        <w:pict>
          <v:shape id="Picture 9" o:spid="_x0000_i1032"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ng/ml vs. 66.91</w:t>
      </w:r>
      <w:r w:rsidRPr="006A6B3F">
        <w:rPr>
          <w:rFonts w:ascii="Times New Roman" w:hAnsi="Times New Roman" w:cs="Times New Roman"/>
          <w:noProof/>
          <w:color w:val="000000"/>
          <w:sz w:val="28"/>
          <w:szCs w:val="28"/>
        </w:rPr>
        <w:pict>
          <v:shape id="Picture 10" o:spid="_x0000_i1033"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w:t>
      </w:r>
      <w:r w:rsidRPr="006A6B3F">
        <w:rPr>
          <w:rFonts w:ascii="Times New Roman" w:hAnsi="Times New Roman" w:cs="Times New Roman"/>
          <w:noProof/>
          <w:color w:val="000000"/>
          <w:sz w:val="28"/>
          <w:szCs w:val="28"/>
        </w:rPr>
        <w:pict>
          <v:shape id="Picture 11" o:spid="_x0000_i1034"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21.39</w:t>
      </w:r>
      <w:r w:rsidRPr="006A6B3F">
        <w:rPr>
          <w:rFonts w:ascii="Times New Roman" w:hAnsi="Times New Roman" w:cs="Times New Roman"/>
          <w:noProof/>
          <w:color w:val="000000"/>
          <w:sz w:val="28"/>
          <w:szCs w:val="28"/>
        </w:rPr>
        <w:pict>
          <v:shape id="Picture 12" o:spid="_x0000_i1035"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ng/ml,</w:t>
      </w:r>
      <w:r w:rsidRPr="008B0D4B">
        <w:rPr>
          <w:rFonts w:ascii="Times New Roman" w:hAnsi="Times New Roman" w:cs="Times New Roman"/>
          <w:color w:val="000000"/>
          <w:sz w:val="28"/>
          <w:szCs w:val="28"/>
          <w:bdr w:val="none" w:sz="0" w:space="0" w:color="auto" w:frame="1"/>
          <w:shd w:val="clear" w:color="auto" w:fill="FFFFFF"/>
        </w:rPr>
        <w:t xml:space="preserve"> p</w:t>
      </w:r>
      <w:r w:rsidRPr="006A6B3F">
        <w:rPr>
          <w:rFonts w:ascii="Times New Roman" w:hAnsi="Times New Roman" w:cs="Times New Roman"/>
          <w:noProof/>
          <w:color w:val="000000"/>
          <w:sz w:val="28"/>
          <w:szCs w:val="28"/>
        </w:rPr>
        <w:pict>
          <v:shape id="Picture 13" o:spid="_x0000_i1036"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w:t>
      </w:r>
      <w:r w:rsidRPr="006A6B3F">
        <w:rPr>
          <w:rFonts w:ascii="Times New Roman" w:hAnsi="Times New Roman" w:cs="Times New Roman"/>
          <w:noProof/>
          <w:color w:val="000000"/>
          <w:sz w:val="28"/>
          <w:szCs w:val="28"/>
        </w:rPr>
        <w:pict>
          <v:shape id="Picture 14" o:spid="_x0000_i1037" type="#_x0000_t75" alt="http://www.obesityresearchclinicalpractice.com/webfiles/images/transparent.gif" style="width:3pt;height:.75pt;visibility:visible">
            <v:imagedata r:id="rId17" o:title=""/>
          </v:shape>
        </w:pict>
      </w:r>
      <w:r w:rsidRPr="008B0D4B">
        <w:rPr>
          <w:rFonts w:ascii="Times New Roman" w:hAnsi="Times New Roman" w:cs="Times New Roman"/>
          <w:color w:val="000000"/>
          <w:sz w:val="28"/>
          <w:szCs w:val="28"/>
          <w:shd w:val="clear" w:color="auto" w:fill="FFFFFF"/>
        </w:rPr>
        <w:t>0.020) and it was negatively associated with body fat.</w:t>
      </w:r>
    </w:p>
    <w:p w:rsidR="00104300" w:rsidRPr="009F2D12" w:rsidRDefault="00104300" w:rsidP="005C473F">
      <w:pPr>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0D4B">
        <w:rPr>
          <w:rFonts w:ascii="Times New Roman" w:hAnsi="Times New Roman" w:cs="Times New Roman"/>
          <w:sz w:val="28"/>
          <w:szCs w:val="28"/>
        </w:rPr>
        <w:t>So, we can use Osteocalcin as an early predictor of osteoporosis in obese children to avoid continuation of the problem of osteoporosis in the adult period especially in pre and post-menopausal females. While for the urinary DPD, as it did not give us any significant data either in obese or non-obese children in addition to its high price, so we do not recommend the use of the urinary DPD as a bone turn over marker in this early age.</w:t>
      </w:r>
    </w:p>
    <w:p w:rsidR="00104300" w:rsidRDefault="00104300" w:rsidP="005C473F">
      <w:pPr>
        <w:bidi w:val="0"/>
        <w:spacing w:after="0" w:line="360" w:lineRule="auto"/>
        <w:jc w:val="both"/>
        <w:rPr>
          <w:rFonts w:ascii="Times New Roman" w:hAnsi="Times New Roman" w:cs="Times New Roman"/>
          <w:b/>
          <w:bCs/>
          <w:sz w:val="32"/>
          <w:szCs w:val="32"/>
        </w:rPr>
      </w:pPr>
      <w:r>
        <w:rPr>
          <w:rFonts w:ascii="Times New Roman" w:hAnsi="Times New Roman" w:cs="Times New Roman"/>
          <w:b/>
          <w:bCs/>
          <w:sz w:val="32"/>
          <w:szCs w:val="32"/>
        </w:rPr>
        <w:t>References</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Abou El-Soud NH, Youssef MM, Mohsen MA and Kazem YA (2006):</w:t>
      </w:r>
      <w:r w:rsidRPr="00AA6277">
        <w:rPr>
          <w:rFonts w:ascii="Times New Roman" w:hAnsi="Times New Roman" w:cs="Times New Roman"/>
          <w:sz w:val="28"/>
          <w:szCs w:val="28"/>
        </w:rPr>
        <w:t xml:space="preserve"> Obesity in children and adolescents:Effect on bone mineral content and density. J Med Sci; 6 (5): 786-792.</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tl/>
        </w:rPr>
      </w:pPr>
      <w:r w:rsidRPr="00AA6277">
        <w:rPr>
          <w:rFonts w:ascii="Times New Roman" w:hAnsi="Times New Roman" w:cs="Times New Roman"/>
          <w:b/>
          <w:bCs/>
          <w:sz w:val="28"/>
          <w:szCs w:val="28"/>
        </w:rPr>
        <w:t>Ambroszkiewicz J, Klemarczyk W, Gajewska J, Chelchowska M and Laskowska- Klita T (2007):</w:t>
      </w:r>
      <w:r w:rsidRPr="00AA6277">
        <w:rPr>
          <w:rFonts w:ascii="Times New Roman" w:hAnsi="Times New Roman" w:cs="Times New Roman"/>
          <w:sz w:val="28"/>
          <w:szCs w:val="28"/>
        </w:rPr>
        <w:t xml:space="preserve"> Serum concentration of biochemical bone turnover markers in vegetarian children. Advances in Medical Sciences. Vol. 52.</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Burguera B and Thomas T (2002):</w:t>
      </w:r>
      <w:r w:rsidRPr="00AA6277">
        <w:rPr>
          <w:rFonts w:ascii="Times New Roman" w:hAnsi="Times New Roman" w:cs="Times New Roman"/>
          <w:sz w:val="28"/>
          <w:szCs w:val="28"/>
        </w:rPr>
        <w:t xml:space="preserve"> Is leptin the link between fat and bone mass? Journal  of Bone and Mineral Research. Vol. 17. Issue 9; 1563-1569.</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Chatterjee S, Chatterjee P and Bandyopadhyay A (2006):</w:t>
      </w:r>
      <w:r w:rsidRPr="00AA6277">
        <w:rPr>
          <w:rFonts w:ascii="TimesNewRomanPSMT" w:hAnsi="TimesNewRomanPSMT" w:cs="TimesNewRomanPSMT"/>
          <w:sz w:val="28"/>
          <w:szCs w:val="28"/>
        </w:rPr>
        <w:t xml:space="preserve"> Skinfold thickness, body fat percentage and body mass index in obese and non-obese Indian boys. Asia Pacific J Clin Nut., 15: 231-235.</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Cobayashi F, Lopes L A and Taddei J A (2005):</w:t>
      </w:r>
      <w:r w:rsidRPr="00AA6277">
        <w:rPr>
          <w:rFonts w:ascii="TimesNewRomanPSMT" w:hAnsi="TimesNewRomanPSMT" w:cs="TimesNewRomanPSMT"/>
          <w:sz w:val="28"/>
          <w:szCs w:val="28"/>
        </w:rPr>
        <w:t xml:space="preserve"> Bone mineral density in overweight and obese adolescents. J Pediatr, 81: 337-42.</w:t>
      </w:r>
    </w:p>
    <w:p w:rsidR="00104300" w:rsidRPr="008B0D4B" w:rsidRDefault="00104300" w:rsidP="005C473F">
      <w:pPr>
        <w:autoSpaceDE w:val="0"/>
        <w:autoSpaceDN w:val="0"/>
        <w:bidi w:val="0"/>
        <w:adjustRightInd w:val="0"/>
        <w:spacing w:after="0" w:line="360" w:lineRule="auto"/>
        <w:jc w:val="both"/>
        <w:rPr>
          <w:rFonts w:ascii="TimesNewRomanPSMT" w:hAnsi="TimesNewRomanPSMT" w:cs="TimesNewRomanPSMT"/>
          <w:sz w:val="28"/>
          <w:szCs w:val="28"/>
        </w:rPr>
      </w:pP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El Khayat HA, Emam EK, Hassan N E, Kandeel W A et al (2013):</w:t>
      </w:r>
      <w:r w:rsidRPr="00AA6277">
        <w:rPr>
          <w:rFonts w:ascii="TimesNewRomanPSMT" w:hAnsi="TimesNewRomanPSMT" w:cs="TimesNewRomanPSMT"/>
          <w:sz w:val="28"/>
          <w:szCs w:val="28"/>
        </w:rPr>
        <w:t xml:space="preserve"> Impact of body fat mass on bone mineral density and content and on serum level of c- terminal telopeptide of type 1 collagen among overweight and obese children and adolescents. Journal of Applied Sciences Researches; 9(1): 770-777. </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Ghalli I,  Salah N , Hussien F,  Erfan M ,  El-Ruby M ,  Mazen I, et al( 2008):</w:t>
      </w:r>
      <w:r w:rsidRPr="00AA6277">
        <w:rPr>
          <w:rFonts w:ascii="Times New Roman" w:hAnsi="Times New Roman" w:cs="Times New Roman"/>
          <w:sz w:val="28"/>
          <w:szCs w:val="28"/>
        </w:rPr>
        <w:t xml:space="preserve"> Egyptian growth curves 2002 for infants, children and adolescents. Recently published in: Int  Sartorio A, Buckler JMH, Marazzi N, editors.</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Goulding A, Taylor R A and Jones I E (2000):</w:t>
      </w:r>
      <w:r w:rsidRPr="00AA6277">
        <w:rPr>
          <w:rFonts w:ascii="TimesNewRomanPSMT" w:hAnsi="TimesNewRomanPSMT" w:cs="TimesNewRomanPSMT"/>
          <w:sz w:val="28"/>
          <w:szCs w:val="28"/>
        </w:rPr>
        <w:t xml:space="preserve"> Overweight and obese children have low bone mass and area for their weight. Int J Obes Relat Metab Disord., 24: 627-632.</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Gwang SK, Yoonsunk J, Kim HS et al (2013):</w:t>
      </w:r>
      <w:r w:rsidRPr="00AA6277">
        <w:rPr>
          <w:rFonts w:ascii="Times New Roman" w:hAnsi="Times New Roman" w:cs="Times New Roman"/>
          <w:sz w:val="28"/>
          <w:szCs w:val="28"/>
        </w:rPr>
        <w:t xml:space="preserve"> Reduced serum total Osteocalcin is associated with central obesity in Korean children. Journal of the Academy of Nutrition and Dietitics.</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Hassan NE, El- Masry SA and El-Sawaf AE (2008):</w:t>
      </w:r>
      <w:r w:rsidRPr="00AA6277">
        <w:rPr>
          <w:rFonts w:ascii="Times New Roman" w:hAnsi="Times New Roman" w:cs="Times New Roman"/>
          <w:sz w:val="28"/>
          <w:szCs w:val="28"/>
        </w:rPr>
        <w:t xml:space="preserve"> Waist circumference and central fatness of Egyptian primary school children. La Revue de Sante de la Mediterranee orientale, Vol. 14. No. 4.</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Hiernaux J and Tanner J M (1969):</w:t>
      </w:r>
      <w:r w:rsidRPr="00AA6277">
        <w:rPr>
          <w:rFonts w:ascii="TimesNewRomanPSMT" w:hAnsi="TimesNewRomanPSMT" w:cs="TimesNewRomanPSMT"/>
          <w:sz w:val="28"/>
          <w:szCs w:val="28"/>
        </w:rPr>
        <w:t xml:space="preserve"> Growth and physical studies, In J.S. Weiner, S.A. Lourie (Eds.), Human Biology: A guide to field methods. London: IBP; Oxford, UK: Blackwell Scientific Publications.</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Klein K O, Larmore K A, Lancey E, Brown J M, Considine R V and Hassink S G (1998):</w:t>
      </w:r>
      <w:r w:rsidRPr="00AA6277">
        <w:rPr>
          <w:rFonts w:ascii="TimesNewRomanPSMT" w:hAnsi="TimesNewRomanPSMT" w:cs="TimesNewRomanPSMT"/>
          <w:sz w:val="28"/>
          <w:szCs w:val="28"/>
        </w:rPr>
        <w:t xml:space="preserve"> Effect of obesity on estradiol level, and its relationship to leptin, bone maturation, and bone mineral density in children. J Clin Endocrinol Metab., 83: 3469-75.</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Manzoni P, Brambilla P and Pietrobelli A (1996):</w:t>
      </w:r>
      <w:r w:rsidRPr="00AA6277">
        <w:rPr>
          <w:rFonts w:ascii="TimesNewRomanPSMT" w:hAnsi="TimesNewRomanPSMT" w:cs="TimesNewRomanPSMT"/>
          <w:sz w:val="28"/>
          <w:szCs w:val="28"/>
        </w:rPr>
        <w:t xml:space="preserve"> Influence of body composition on bone mineral content in children and adolescents. Am J Clin Nutr., 64: 603-607.</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Maor G, Rochwerger M, Segev Y and Phillip M (2002):</w:t>
      </w:r>
      <w:r w:rsidRPr="00AA6277">
        <w:rPr>
          <w:rFonts w:ascii="TimesNewRomanPSMT" w:hAnsi="TimesNewRomanPSMT" w:cs="TimesNewRomanPSMT"/>
          <w:sz w:val="28"/>
          <w:szCs w:val="28"/>
        </w:rPr>
        <w:t xml:space="preserve"> Leptin acts as a growth factor on the chondrocytes of skeletal growth centers. J Bone Miner Res., 17: 1034-43.</w:t>
      </w:r>
    </w:p>
    <w:p w:rsidR="00104300" w:rsidRPr="00AA6277" w:rsidRDefault="00104300" w:rsidP="00AA6277">
      <w:pPr>
        <w:pStyle w:val="ListParagraph"/>
        <w:numPr>
          <w:ilvl w:val="0"/>
          <w:numId w:val="8"/>
        </w:numPr>
        <w:bidi w:val="0"/>
        <w:spacing w:after="0" w:line="360" w:lineRule="auto"/>
        <w:jc w:val="both"/>
        <w:rPr>
          <w:rFonts w:ascii="TimesNewRomanPSMT" w:hAnsi="TimesNewRomanPSMT" w:cs="TimesNewRomanPSMT"/>
          <w:sz w:val="28"/>
          <w:szCs w:val="28"/>
        </w:rPr>
      </w:pPr>
      <w:r w:rsidRPr="00AA6277">
        <w:rPr>
          <w:rFonts w:ascii="TimesNewRomanPSMT" w:hAnsi="TimesNewRomanPSMT" w:cs="TimesNewRomanPSMT"/>
          <w:b/>
          <w:bCs/>
          <w:sz w:val="28"/>
          <w:szCs w:val="28"/>
        </w:rPr>
        <w:t>Mc Cormick B, Stone I and corporate analytical team (2007):</w:t>
      </w:r>
      <w:r w:rsidRPr="00AA6277">
        <w:rPr>
          <w:rFonts w:ascii="TimesNewRomanPSMT" w:hAnsi="TimesNewRomanPSMT" w:cs="TimesNewRomanPSMT"/>
          <w:sz w:val="28"/>
          <w:szCs w:val="28"/>
        </w:rPr>
        <w:t xml:space="preserve"> Economic costs of obesity and the case for government intervention. Obesity reviews (8) Supp.1:161-164.</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Moreira P, Padez C, Mourao-Carvalhal I, Rosado V. (2007):</w:t>
      </w:r>
      <w:r w:rsidRPr="00AA6277">
        <w:rPr>
          <w:rFonts w:ascii="Times New Roman" w:hAnsi="Times New Roman" w:cs="Times New Roman"/>
          <w:sz w:val="28"/>
          <w:szCs w:val="28"/>
        </w:rPr>
        <w:t xml:space="preserve"> Maternal weight gain during pregnancy and overweight in Portuguese children.</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color w:val="333333"/>
          <w:sz w:val="28"/>
          <w:szCs w:val="28"/>
          <w:bdr w:val="none" w:sz="0" w:space="0" w:color="auto" w:frame="1"/>
          <w:shd w:val="clear" w:color="auto" w:fill="FFFFFF"/>
        </w:rPr>
      </w:pPr>
      <w:r w:rsidRPr="00AA6277">
        <w:rPr>
          <w:rFonts w:ascii="Times New Roman" w:hAnsi="Times New Roman" w:cs="Times New Roman"/>
          <w:b/>
          <w:bCs/>
          <w:sz w:val="28"/>
          <w:szCs w:val="28"/>
        </w:rPr>
        <w:t>Naim M Maalouf M D and Khashayer Sakhaee M D (2006):</w:t>
      </w:r>
      <w:r w:rsidRPr="00AA6277">
        <w:rPr>
          <w:rFonts w:ascii="Times New Roman" w:hAnsi="Times New Roman" w:cs="Times New Roman"/>
          <w:sz w:val="28"/>
          <w:szCs w:val="28"/>
        </w:rPr>
        <w:t xml:space="preserve"> Treatment of osteoporosis in patients with liver diseases and in transplant. </w:t>
      </w:r>
      <w:hyperlink r:id="rId18" w:history="1">
        <w:r w:rsidRPr="00AA6277">
          <w:rPr>
            <w:rFonts w:ascii="Times New Roman" w:hAnsi="Times New Roman" w:cs="Times New Roman"/>
            <w:color w:val="333333"/>
            <w:sz w:val="28"/>
            <w:szCs w:val="28"/>
            <w:bdr w:val="none" w:sz="0" w:space="0" w:color="auto" w:frame="1"/>
          </w:rPr>
          <w:t>Current Treatment Options in Gastroenterology</w:t>
        </w:r>
      </w:hyperlink>
      <w:r w:rsidRPr="00AA6277">
        <w:rPr>
          <w:rFonts w:ascii="Times New Roman" w:hAnsi="Times New Roman" w:cs="Times New Roman"/>
          <w:color w:val="333333"/>
          <w:sz w:val="28"/>
          <w:szCs w:val="28"/>
        </w:rPr>
        <w:t>.</w:t>
      </w:r>
      <w:r w:rsidRPr="00AA6277">
        <w:rPr>
          <w:rFonts w:ascii="Times New Roman" w:hAnsi="Times New Roman" w:cs="Times New Roman"/>
          <w:color w:val="333333"/>
          <w:sz w:val="28"/>
          <w:szCs w:val="28"/>
          <w:shd w:val="clear" w:color="auto" w:fill="FFFFFF"/>
        </w:rPr>
        <w:t> </w:t>
      </w:r>
      <w:r w:rsidRPr="00AA6277">
        <w:rPr>
          <w:rFonts w:ascii="Times New Roman" w:hAnsi="Times New Roman" w:cs="Times New Roman"/>
          <w:color w:val="333333"/>
          <w:sz w:val="28"/>
          <w:szCs w:val="28"/>
          <w:bdr w:val="none" w:sz="0" w:space="0" w:color="auto" w:frame="1"/>
          <w:shd w:val="clear" w:color="auto" w:fill="FFFFFF"/>
        </w:rPr>
        <w:t>Volume 9</w:t>
      </w:r>
      <w:r w:rsidRPr="00AA6277">
        <w:rPr>
          <w:rFonts w:ascii="Times New Roman" w:hAnsi="Times New Roman" w:cs="Times New Roman"/>
          <w:color w:val="333333"/>
          <w:sz w:val="28"/>
          <w:szCs w:val="28"/>
          <w:shd w:val="clear" w:color="auto" w:fill="FFFFFF"/>
        </w:rPr>
        <w:t>, </w:t>
      </w:r>
      <w:hyperlink r:id="rId19" w:history="1">
        <w:r w:rsidRPr="00AA6277">
          <w:rPr>
            <w:rFonts w:ascii="Times New Roman" w:hAnsi="Times New Roman" w:cs="Times New Roman"/>
            <w:color w:val="333333"/>
            <w:sz w:val="28"/>
            <w:szCs w:val="28"/>
            <w:bdr w:val="none" w:sz="0" w:space="0" w:color="auto" w:frame="1"/>
            <w:shd w:val="clear" w:color="auto" w:fill="FFFFFF"/>
          </w:rPr>
          <w:t>Issue 6</w:t>
        </w:r>
      </w:hyperlink>
      <w:r w:rsidRPr="00AA6277">
        <w:rPr>
          <w:rFonts w:ascii="Times New Roman" w:hAnsi="Times New Roman" w:cs="Times New Roman"/>
          <w:color w:val="333333"/>
          <w:sz w:val="28"/>
          <w:szCs w:val="28"/>
          <w:shd w:val="clear" w:color="auto" w:fill="FFFFFF"/>
        </w:rPr>
        <w:t>, </w:t>
      </w:r>
      <w:r w:rsidRPr="00AA6277">
        <w:rPr>
          <w:rFonts w:ascii="Times New Roman" w:hAnsi="Times New Roman" w:cs="Times New Roman"/>
          <w:color w:val="333333"/>
          <w:sz w:val="28"/>
          <w:szCs w:val="28"/>
          <w:bdr w:val="none" w:sz="0" w:space="0" w:color="auto" w:frame="1"/>
          <w:shd w:val="clear" w:color="auto" w:fill="FFFFFF"/>
        </w:rPr>
        <w:t>pp 456-463.</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color w:val="222222"/>
          <w:sz w:val="28"/>
          <w:szCs w:val="28"/>
        </w:rPr>
      </w:pPr>
      <w:hyperlink r:id="rId20" w:history="1">
        <w:r w:rsidRPr="00AA6277">
          <w:rPr>
            <w:rFonts w:ascii="Times New Roman" w:hAnsi="Times New Roman" w:cs="Times New Roman"/>
            <w:b/>
            <w:bCs/>
            <w:color w:val="000000"/>
            <w:sz w:val="28"/>
            <w:szCs w:val="28"/>
          </w:rPr>
          <w:t> National Osteoporosis Foundation</w:t>
        </w:r>
      </w:hyperlink>
      <w:r w:rsidRPr="00AA6277">
        <w:rPr>
          <w:rFonts w:ascii="Times New Roman" w:hAnsi="Times New Roman" w:cs="Times New Roman"/>
          <w:b/>
          <w:bCs/>
          <w:color w:val="222222"/>
          <w:sz w:val="28"/>
          <w:szCs w:val="28"/>
        </w:rPr>
        <w:t xml:space="preserve"> </w:t>
      </w:r>
      <w:r w:rsidRPr="00AA6277">
        <w:rPr>
          <w:rFonts w:ascii="Times New Roman" w:hAnsi="Times New Roman" w:cs="Times New Roman"/>
          <w:b/>
          <w:bCs/>
          <w:color w:val="000000"/>
          <w:sz w:val="28"/>
          <w:szCs w:val="28"/>
        </w:rPr>
        <w:t>(2013):</w:t>
      </w:r>
      <w:r w:rsidRPr="00AA6277">
        <w:rPr>
          <w:rFonts w:ascii="Times New Roman" w:hAnsi="Times New Roman" w:cs="Times New Roman"/>
          <w:color w:val="000000"/>
          <w:sz w:val="28"/>
          <w:szCs w:val="28"/>
        </w:rPr>
        <w:t xml:space="preserve"> </w:t>
      </w:r>
      <w:hyperlink r:id="rId21" w:tooltip="Permalink to The National Osteoporosis Foundation’s Newly Revised 2013 Clinician’s Guide to Osteoporosis Highlights Importance of Vertebral Imaging" w:history="1">
        <w:r w:rsidRPr="00AA6277">
          <w:rPr>
            <w:rFonts w:ascii="Times New Roman" w:hAnsi="Times New Roman" w:cs="Times New Roman"/>
            <w:color w:val="000000"/>
            <w:kern w:val="36"/>
            <w:sz w:val="28"/>
            <w:szCs w:val="28"/>
            <w:bdr w:val="none" w:sz="0" w:space="0" w:color="auto" w:frame="1"/>
          </w:rPr>
          <w:t>The National Osteoporosis Foundation’s Newly Revised 2013 Clinician’s Guide to Osteoporosis Highlights Importance of Vertebral Imaging</w:t>
        </w:r>
      </w:hyperlink>
      <w:r w:rsidRPr="00AA6277">
        <w:rPr>
          <w:rFonts w:ascii="Times New Roman" w:hAnsi="Times New Roman"/>
          <w:color w:val="000000"/>
          <w:kern w:val="36"/>
          <w:sz w:val="28"/>
          <w:szCs w:val="28"/>
        </w:rPr>
        <w:t>.</w:t>
      </w:r>
      <w:r w:rsidRPr="00AA6277">
        <w:rPr>
          <w:rFonts w:ascii="Times New Roman" w:hAnsi="Times New Roman"/>
          <w:color w:val="000000"/>
          <w:sz w:val="28"/>
          <w:szCs w:val="28"/>
        </w:rPr>
        <w:t xml:space="preserve">  Available at: </w:t>
      </w:r>
      <w:r w:rsidRPr="00AA6277">
        <w:rPr>
          <w:rFonts w:ascii="Times New Roman" w:hAnsi="Times New Roman" w:cs="Times New Roman"/>
          <w:color w:val="000000"/>
          <w:sz w:val="28"/>
          <w:szCs w:val="28"/>
          <w:u w:val="single"/>
        </w:rPr>
        <w:t>www.optasiamedical.com/nofs.</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color w:val="000000"/>
          <w:sz w:val="28"/>
          <w:szCs w:val="28"/>
        </w:rPr>
      </w:pPr>
      <w:r w:rsidRPr="00AA6277">
        <w:rPr>
          <w:rFonts w:ascii="Times New Roman" w:hAnsi="Times New Roman" w:cs="Times New Roman"/>
          <w:b/>
          <w:bCs/>
          <w:color w:val="000000"/>
          <w:sz w:val="28"/>
          <w:szCs w:val="28"/>
          <w:shd w:val="clear" w:color="auto" w:fill="FFFFFF"/>
        </w:rPr>
        <w:t>Nowicka P and Flodmark C E (2008):</w:t>
      </w:r>
      <w:r w:rsidRPr="00AA6277">
        <w:rPr>
          <w:rFonts w:ascii="Times New Roman" w:hAnsi="Times New Roman" w:cs="Times New Roman"/>
          <w:color w:val="000000"/>
          <w:sz w:val="28"/>
          <w:szCs w:val="28"/>
          <w:shd w:val="clear" w:color="auto" w:fill="FFFFFF"/>
        </w:rPr>
        <w:t xml:space="preserve"> Family in pediatric obesity management – a literature review.</w:t>
      </w:r>
      <w:r w:rsidRPr="00AA6277">
        <w:rPr>
          <w:rStyle w:val="apple-converted-space"/>
          <w:rFonts w:ascii="Times New Roman" w:hAnsi="Times New Roman"/>
          <w:color w:val="000000"/>
          <w:sz w:val="28"/>
          <w:szCs w:val="28"/>
          <w:shd w:val="clear" w:color="auto" w:fill="FFFFFF"/>
        </w:rPr>
        <w:t> </w:t>
      </w:r>
      <w:r w:rsidRPr="00AA6277">
        <w:rPr>
          <w:rStyle w:val="Emphasis"/>
          <w:rFonts w:ascii="Times New Roman" w:hAnsi="Times New Roman"/>
          <w:i w:val="0"/>
          <w:iCs w:val="0"/>
          <w:color w:val="000000"/>
          <w:sz w:val="28"/>
          <w:szCs w:val="28"/>
          <w:shd w:val="clear" w:color="auto" w:fill="FFFFFF"/>
        </w:rPr>
        <w:t>International Journal of Pediatric Obesity.</w:t>
      </w:r>
      <w:r w:rsidRPr="00AA6277">
        <w:rPr>
          <w:rStyle w:val="apple-converted-space"/>
          <w:rFonts w:ascii="Times New Roman" w:hAnsi="Times New Roman"/>
          <w:i/>
          <w:iCs/>
          <w:color w:val="000000"/>
          <w:sz w:val="28"/>
          <w:szCs w:val="28"/>
          <w:shd w:val="clear" w:color="auto" w:fill="FFFFFF"/>
        </w:rPr>
        <w:t> </w:t>
      </w:r>
      <w:r w:rsidRPr="00AA6277">
        <w:rPr>
          <w:rFonts w:ascii="Times New Roman" w:hAnsi="Times New Roman" w:cs="Times New Roman"/>
          <w:color w:val="000000"/>
          <w:sz w:val="28"/>
          <w:szCs w:val="28"/>
          <w:shd w:val="clear" w:color="auto" w:fill="FFFFFF"/>
        </w:rPr>
        <w:t xml:space="preserve"> 3: 44-50.</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Rhee K E, Phelan S and McCaffery J (2012):</w:t>
      </w:r>
      <w:r w:rsidRPr="00AA6277">
        <w:rPr>
          <w:rFonts w:ascii="Times New Roman" w:hAnsi="Times New Roman" w:cs="Times New Roman"/>
          <w:sz w:val="28"/>
          <w:szCs w:val="28"/>
        </w:rPr>
        <w:t xml:space="preserve"> Early determinants of obesity: genetic, epigenetic and in utero influences. Int J of Pediatr. Vol .2012, article ID 463850, 9 pages.</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Salem MA, El Alfy MS, El Beblawy NM, Tash F, Zaki M and Farid S (2002):</w:t>
      </w:r>
      <w:r w:rsidRPr="00AA6277">
        <w:rPr>
          <w:rFonts w:ascii="Times New Roman" w:hAnsi="Times New Roman" w:cs="Times New Roman"/>
          <w:sz w:val="28"/>
          <w:szCs w:val="28"/>
        </w:rPr>
        <w:t xml:space="preserve"> Prevalence of obesity in school children and its link to type 2 diabetes mellitus. Egyptian Journal of Pediatrics, 19(3):397-416.</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tl/>
        </w:rPr>
      </w:pPr>
      <w:r w:rsidRPr="00AA6277">
        <w:rPr>
          <w:rFonts w:ascii="Times New Roman" w:hAnsi="Times New Roman" w:cs="Times New Roman"/>
          <w:b/>
          <w:bCs/>
          <w:sz w:val="28"/>
          <w:szCs w:val="28"/>
        </w:rPr>
        <w:t>Sambrook P and Cooper C (2006):</w:t>
      </w:r>
      <w:r w:rsidRPr="00AA6277">
        <w:rPr>
          <w:rFonts w:ascii="Times New Roman" w:hAnsi="Times New Roman" w:cs="Times New Roman"/>
          <w:sz w:val="28"/>
          <w:szCs w:val="28"/>
        </w:rPr>
        <w:t xml:space="preserve"> Osteoporosis. Lancet 2006 Jun 17; 367(9527): 2010-8.</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b/>
          <w:bCs/>
          <w:sz w:val="28"/>
          <w:szCs w:val="28"/>
          <w:lang w:bidi="ar-EG"/>
        </w:rPr>
      </w:pPr>
      <w:r w:rsidRPr="00AA6277">
        <w:rPr>
          <w:rFonts w:ascii="TimesNewRomanPSMT" w:hAnsi="TimesNewRomanPSMT" w:cs="TimesNewRomanPSMT"/>
          <w:b/>
          <w:bCs/>
          <w:sz w:val="28"/>
          <w:szCs w:val="28"/>
        </w:rPr>
        <w:t>Schoenau E, Neu C M, Rauch F and Manz F (2001):</w:t>
      </w:r>
      <w:r w:rsidRPr="00AA6277">
        <w:rPr>
          <w:rFonts w:ascii="TimesNewRomanPSMT" w:hAnsi="TimesNewRomanPSMT" w:cs="TimesNewRomanPSMT"/>
          <w:sz w:val="28"/>
          <w:szCs w:val="28"/>
        </w:rPr>
        <w:t xml:space="preserve"> The development of bone strength at the proximal radius during childhood and adolescence. J Clin Endocrinol Metab., 86: 613-8.</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rPr>
      </w:pPr>
      <w:r w:rsidRPr="00AA6277">
        <w:rPr>
          <w:rFonts w:ascii="Times New Roman" w:hAnsi="Times New Roman" w:cs="Times New Roman"/>
          <w:b/>
          <w:bCs/>
          <w:sz w:val="28"/>
          <w:szCs w:val="28"/>
        </w:rPr>
        <w:t>Schwarz S and Freemark M</w:t>
      </w:r>
      <w:r w:rsidRPr="00AA6277">
        <w:rPr>
          <w:rFonts w:ascii="Times New Roman" w:hAnsi="Times New Roman" w:cs="Times New Roman"/>
          <w:sz w:val="28"/>
          <w:szCs w:val="28"/>
        </w:rPr>
        <w:t xml:space="preserve"> (</w:t>
      </w:r>
      <w:r w:rsidRPr="00AA6277">
        <w:rPr>
          <w:rFonts w:ascii="Times New Roman" w:hAnsi="Times New Roman" w:cs="Times New Roman"/>
          <w:b/>
          <w:bCs/>
          <w:sz w:val="28"/>
          <w:szCs w:val="28"/>
        </w:rPr>
        <w:t>2010)</w:t>
      </w:r>
      <w:r w:rsidRPr="00AA6277">
        <w:rPr>
          <w:rFonts w:ascii="Times New Roman" w:hAnsi="Times New Roman" w:cs="Times New Roman"/>
          <w:sz w:val="28"/>
          <w:szCs w:val="28"/>
        </w:rPr>
        <w:t>: Pediatric Obesity, Available at:</w:t>
      </w:r>
      <w:r>
        <w:rPr>
          <w:rFonts w:ascii="Times New Roman" w:hAnsi="Times New Roman" w:cs="Times New Roman"/>
          <w:sz w:val="28"/>
          <w:szCs w:val="28"/>
        </w:rPr>
        <w:t xml:space="preserve"> </w:t>
      </w:r>
      <w:hyperlink r:id="rId22" w:history="1">
        <w:r w:rsidRPr="00AA6277">
          <w:rPr>
            <w:rFonts w:ascii="Times New Roman" w:hAnsi="Times New Roman" w:cs="Times New Roman"/>
            <w:color w:val="000000"/>
            <w:sz w:val="28"/>
            <w:szCs w:val="28"/>
            <w:u w:val="single"/>
          </w:rPr>
          <w:t>http://emedicine.medscape.com/article/985333-overview</w:t>
        </w:r>
      </w:hyperlink>
      <w:r w:rsidRPr="00AA6277">
        <w:rPr>
          <w:rFonts w:ascii="Times New Roman" w:hAnsi="Times New Roman" w:cs="Times New Roman"/>
          <w:color w:val="000000"/>
          <w:sz w:val="28"/>
          <w:szCs w:val="28"/>
        </w:rPr>
        <w:t>.</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b/>
          <w:bCs/>
          <w:sz w:val="28"/>
          <w:szCs w:val="28"/>
          <w:lang w:bidi="ar-EG"/>
        </w:rPr>
      </w:pPr>
      <w:r w:rsidRPr="00AA6277">
        <w:rPr>
          <w:rFonts w:ascii="Times New Roman" w:hAnsi="Times New Roman" w:cs="Times New Roman"/>
          <w:b/>
          <w:bCs/>
          <w:sz w:val="28"/>
          <w:szCs w:val="28"/>
          <w:lang w:bidi="ar-EG"/>
        </w:rPr>
        <w:t xml:space="preserve">Scotte C, Tonnarelli B, Papadimitropoulos A, Scherberich A, et al., (2010): </w:t>
      </w:r>
      <w:r w:rsidRPr="00AA6277">
        <w:rPr>
          <w:rFonts w:ascii="Times New Roman" w:hAnsi="Times New Roman" w:cs="Times New Roman"/>
          <w:sz w:val="28"/>
          <w:szCs w:val="28"/>
          <w:lang w:bidi="ar-EG"/>
        </w:rPr>
        <w:t>Recapitulation of endochondral bone formation using human adult mesenchymal stem cells as a paradigm for developmental engineering. PNAS; Vol. 107no, 16: 7251-7256.</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lang w:bidi="ar-EG"/>
        </w:rPr>
      </w:pPr>
      <w:r w:rsidRPr="00AA6277">
        <w:rPr>
          <w:rFonts w:ascii="Times New Roman" w:hAnsi="Times New Roman" w:cs="Times New Roman"/>
          <w:b/>
          <w:bCs/>
          <w:sz w:val="28"/>
          <w:szCs w:val="28"/>
          <w:lang w:bidi="ar-EG"/>
        </w:rPr>
        <w:t>Sub Lim J (2010):</w:t>
      </w:r>
      <w:r w:rsidRPr="00AA6277">
        <w:rPr>
          <w:rFonts w:ascii="Times New Roman" w:hAnsi="Times New Roman" w:cs="Times New Roman"/>
          <w:sz w:val="28"/>
          <w:szCs w:val="28"/>
          <w:lang w:bidi="ar-EG"/>
        </w:rPr>
        <w:t xml:space="preserve"> Pediatric dual energy X-ray absorptiometry: Interpretation and clinical and research application. Korean J of Pediatrics; 53(3): 286-293.</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lang w:bidi="ar-EG"/>
        </w:rPr>
      </w:pPr>
      <w:r w:rsidRPr="00AA6277">
        <w:rPr>
          <w:rFonts w:ascii="Times New Roman" w:hAnsi="Times New Roman" w:cs="Times New Roman"/>
          <w:b/>
          <w:bCs/>
          <w:sz w:val="28"/>
          <w:szCs w:val="28"/>
          <w:lang w:bidi="ar-EG"/>
        </w:rPr>
        <w:t xml:space="preserve">Vesper H, Cosman F, Endres B.D, Garnero P, Hoyle R.N, Kleerekoper M, Mallinak J. S. N (2004): </w:t>
      </w:r>
      <w:r w:rsidRPr="00AA6277">
        <w:rPr>
          <w:rFonts w:ascii="Times New Roman" w:hAnsi="Times New Roman" w:cs="Times New Roman"/>
          <w:sz w:val="28"/>
          <w:szCs w:val="28"/>
          <w:lang w:bidi="ar-EG"/>
        </w:rPr>
        <w:t>Application of biochemical markers of bone turnover in the assessment and monitoring of bone disease: approved guidline. ISBN; 24(22).</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sz w:val="28"/>
          <w:szCs w:val="28"/>
          <w:lang w:bidi="ar-EG"/>
        </w:rPr>
      </w:pPr>
      <w:r w:rsidRPr="00AA6277">
        <w:rPr>
          <w:rFonts w:ascii="Times New Roman" w:hAnsi="Times New Roman" w:cs="Times New Roman"/>
          <w:b/>
          <w:bCs/>
          <w:sz w:val="28"/>
          <w:szCs w:val="28"/>
          <w:lang w:bidi="ar-EG"/>
        </w:rPr>
        <w:t>Wang JW, Tang QY, Ruan HJ and Caiw W (2013):</w:t>
      </w:r>
      <w:r w:rsidRPr="00AA6277">
        <w:rPr>
          <w:rFonts w:ascii="Times New Roman" w:hAnsi="Times New Roman" w:cs="Times New Roman"/>
          <w:sz w:val="28"/>
          <w:szCs w:val="28"/>
          <w:lang w:bidi="ar-EG"/>
        </w:rPr>
        <w:t xml:space="preserve"> Relationship between serum Osteocalcin levels and body composition in obese children. J Pediatr Gastroentrol Nutr. Nov (16).</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b/>
          <w:bCs/>
          <w:color w:val="000000"/>
          <w:sz w:val="28"/>
          <w:szCs w:val="28"/>
        </w:rPr>
      </w:pPr>
      <w:hyperlink r:id="rId23" w:history="1">
        <w:r w:rsidRPr="00AA6277">
          <w:rPr>
            <w:rFonts w:ascii="Times New Roman" w:hAnsi="Times New Roman" w:cs="Times New Roman"/>
            <w:b/>
            <w:bCs/>
            <w:color w:val="000000"/>
            <w:sz w:val="28"/>
            <w:szCs w:val="28"/>
          </w:rPr>
          <w:t>WHO (2012):</w:t>
        </w:r>
        <w:r w:rsidRPr="00AA6277">
          <w:rPr>
            <w:rFonts w:ascii="Times New Roman" w:hAnsi="Times New Roman" w:cs="Times New Roman"/>
            <w:color w:val="000000"/>
            <w:sz w:val="28"/>
            <w:szCs w:val="28"/>
          </w:rPr>
          <w:t> Obesity and overweight</w:t>
        </w:r>
      </w:hyperlink>
      <w:r w:rsidRPr="00AA6277">
        <w:rPr>
          <w:rFonts w:ascii="Times New Roman" w:hAnsi="Times New Roman" w:cs="Times New Roman"/>
          <w:color w:val="000000"/>
          <w:sz w:val="28"/>
          <w:szCs w:val="28"/>
        </w:rPr>
        <w:t xml:space="preserve"> available at: </w:t>
      </w:r>
      <w:r w:rsidRPr="00AA6277">
        <w:rPr>
          <w:rFonts w:ascii="Times New Roman" w:hAnsi="Times New Roman" w:cs="Times New Roman"/>
          <w:b/>
          <w:bCs/>
          <w:color w:val="000000"/>
          <w:sz w:val="28"/>
          <w:szCs w:val="28"/>
        </w:rPr>
        <w:t>www. =Who. int/ mediacenre/ factsheets/fs311/en.</w:t>
      </w:r>
    </w:p>
    <w:p w:rsidR="00104300" w:rsidRPr="00AA6277" w:rsidRDefault="00104300" w:rsidP="00AA6277">
      <w:pPr>
        <w:pStyle w:val="ListParagraph"/>
        <w:numPr>
          <w:ilvl w:val="0"/>
          <w:numId w:val="8"/>
        </w:numPr>
        <w:bidi w:val="0"/>
        <w:spacing w:after="0" w:line="360" w:lineRule="auto"/>
        <w:jc w:val="both"/>
        <w:rPr>
          <w:rFonts w:ascii="Times New Roman" w:hAnsi="Times New Roman" w:cs="Times New Roman"/>
          <w:color w:val="000000"/>
          <w:sz w:val="28"/>
          <w:szCs w:val="28"/>
        </w:rPr>
      </w:pPr>
      <w:r w:rsidRPr="00AA6277">
        <w:rPr>
          <w:rFonts w:ascii="Times New Roman" w:hAnsi="Times New Roman" w:cs="Times New Roman"/>
          <w:b/>
          <w:bCs/>
          <w:color w:val="000000"/>
          <w:sz w:val="28"/>
          <w:szCs w:val="28"/>
        </w:rPr>
        <w:t xml:space="preserve">Yang R, Lee M, Hu H, Pollin T et al (2006): </w:t>
      </w:r>
      <w:r w:rsidRPr="00AA6277">
        <w:rPr>
          <w:rFonts w:ascii="Times New Roman" w:hAnsi="Times New Roman" w:cs="Times New Roman"/>
          <w:color w:val="000000"/>
          <w:sz w:val="28"/>
          <w:szCs w:val="28"/>
        </w:rPr>
        <w:t>Acute –phase serum Amyloid A: An inflammatory adipokines and potential link between obesity and its metabolic complications. PLOS Med 3(6): e287. DOI: 10.1371/ Journal.</w:t>
      </w:r>
      <w:r>
        <w:rPr>
          <w:rFonts w:ascii="Times New Roman" w:hAnsi="Times New Roman" w:cs="Times New Roman"/>
          <w:color w:val="000000"/>
          <w:sz w:val="28"/>
          <w:szCs w:val="28"/>
        </w:rPr>
        <w:t xml:space="preserve"> </w:t>
      </w:r>
      <w:r w:rsidRPr="00AA6277">
        <w:rPr>
          <w:rFonts w:ascii="Times New Roman" w:hAnsi="Times New Roman" w:cs="Times New Roman"/>
          <w:color w:val="000000"/>
          <w:sz w:val="28"/>
          <w:szCs w:val="28"/>
        </w:rPr>
        <w:t>Pmed. 0030287.</w:t>
      </w:r>
    </w:p>
    <w:sectPr w:rsidR="00104300" w:rsidRPr="00AA6277" w:rsidSect="005C473F">
      <w:footerReference w:type="default" r:id="rId24"/>
      <w:pgSz w:w="11906" w:h="16838" w:code="9"/>
      <w:pgMar w:top="1701" w:right="1701" w:bottom="1701" w:left="1701" w:header="709" w:footer="709" w:gutter="0"/>
      <w:pgNumType w:start="1"/>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300" w:rsidRDefault="00104300" w:rsidP="00C72BBC">
      <w:pPr>
        <w:spacing w:after="0" w:line="240" w:lineRule="auto"/>
      </w:pPr>
      <w:r>
        <w:separator/>
      </w:r>
    </w:p>
  </w:endnote>
  <w:endnote w:type="continuationSeparator" w:id="1">
    <w:p w:rsidR="00104300" w:rsidRDefault="00104300" w:rsidP="00C72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00" w:rsidRDefault="00104300" w:rsidP="00AE0F78">
    <w:pPr>
      <w:pStyle w:val="Footer"/>
      <w:bidi w:val="0"/>
      <w:jc w:val="center"/>
    </w:pPr>
    <w:fldSimple w:instr=" PAGE   \* MERGEFORMAT ">
      <w:r>
        <w:rPr>
          <w:noProof/>
        </w:rPr>
        <w:t>3</w:t>
      </w:r>
    </w:fldSimple>
  </w:p>
  <w:p w:rsidR="00104300" w:rsidRDefault="00104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300" w:rsidRDefault="00104300" w:rsidP="00C72BBC">
      <w:pPr>
        <w:spacing w:after="0" w:line="240" w:lineRule="auto"/>
      </w:pPr>
      <w:r>
        <w:separator/>
      </w:r>
    </w:p>
  </w:footnote>
  <w:footnote w:type="continuationSeparator" w:id="1">
    <w:p w:rsidR="00104300" w:rsidRDefault="00104300" w:rsidP="00C72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504"/>
    <w:multiLevelType w:val="hybridMultilevel"/>
    <w:tmpl w:val="7C1A737E"/>
    <w:lvl w:ilvl="0" w:tplc="9F8AFCCC">
      <w:start w:val="1"/>
      <w:numFmt w:val="bullet"/>
      <w:lvlText w:val=""/>
      <w:lvlJc w:val="left"/>
      <w:pPr>
        <w:tabs>
          <w:tab w:val="num" w:pos="360"/>
        </w:tabs>
        <w:ind w:left="360" w:hanging="360"/>
      </w:pPr>
      <w:rPr>
        <w:rFonts w:ascii="Symbol" w:hAnsi="Symbol" w:hint="default"/>
        <w:color w:val="auto"/>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13F677F1"/>
    <w:multiLevelType w:val="hybridMultilevel"/>
    <w:tmpl w:val="264EF6F8"/>
    <w:lvl w:ilvl="0" w:tplc="F750716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4826C6E"/>
    <w:multiLevelType w:val="hybridMultilevel"/>
    <w:tmpl w:val="DF0A148A"/>
    <w:lvl w:ilvl="0" w:tplc="66DA49AC">
      <w:start w:val="1"/>
      <w:numFmt w:val="decimal"/>
      <w:lvlText w:val="%1-"/>
      <w:lvlJc w:val="left"/>
      <w:pPr>
        <w:ind w:left="735" w:hanging="375"/>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D88312D"/>
    <w:multiLevelType w:val="hybridMultilevel"/>
    <w:tmpl w:val="92429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251748"/>
    <w:multiLevelType w:val="hybridMultilevel"/>
    <w:tmpl w:val="CA8CE8F6"/>
    <w:lvl w:ilvl="0" w:tplc="7F82022C">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FC2638F"/>
    <w:multiLevelType w:val="hybridMultilevel"/>
    <w:tmpl w:val="402C39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26426ED"/>
    <w:multiLevelType w:val="multilevel"/>
    <w:tmpl w:val="342AB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98D0DC2"/>
    <w:multiLevelType w:val="hybridMultilevel"/>
    <w:tmpl w:val="843ED114"/>
    <w:lvl w:ilvl="0" w:tplc="D176537E">
      <w:start w:val="1"/>
      <w:numFmt w:val="upperLetter"/>
      <w:lvlText w:val="%1)"/>
      <w:lvlJc w:val="left"/>
      <w:pPr>
        <w:tabs>
          <w:tab w:val="num" w:pos="405"/>
        </w:tabs>
        <w:ind w:left="405" w:hanging="405"/>
      </w:pPr>
      <w:rPr>
        <w:rFonts w:cs="Times New Roman" w:hint="default"/>
        <w:sz w:val="36"/>
        <w:szCs w:val="36"/>
      </w:rPr>
    </w:lvl>
    <w:lvl w:ilvl="1" w:tplc="7F82022C">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6DB6238A"/>
    <w:multiLevelType w:val="hybridMultilevel"/>
    <w:tmpl w:val="4C326968"/>
    <w:lvl w:ilvl="0" w:tplc="020017A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4BF0741"/>
    <w:multiLevelType w:val="hybridMultilevel"/>
    <w:tmpl w:val="820C7EEE"/>
    <w:lvl w:ilvl="0" w:tplc="F86ABB00">
      <w:start w:val="1"/>
      <w:numFmt w:val="decimal"/>
      <w:lvlText w:val="%1-"/>
      <w:lvlJc w:val="left"/>
      <w:pPr>
        <w:tabs>
          <w:tab w:val="num" w:pos="4896"/>
        </w:tabs>
        <w:ind w:left="4896" w:hanging="360"/>
      </w:pPr>
      <w:rPr>
        <w:rFonts w:cs="Times New Roman" w:hint="default"/>
        <w:b/>
        <w:color w:val="auto"/>
        <w:sz w:val="28"/>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9"/>
  </w:num>
  <w:num w:numId="3">
    <w:abstractNumId w:val="7"/>
  </w:num>
  <w:num w:numId="4">
    <w:abstractNumId w:val="1"/>
  </w:num>
  <w:num w:numId="5">
    <w:abstractNumId w:val="6"/>
  </w:num>
  <w:num w:numId="6">
    <w:abstractNumId w:val="4"/>
  </w:num>
  <w:num w:numId="7">
    <w:abstractNumId w:val="5"/>
  </w:num>
  <w:num w:numId="8">
    <w:abstractNumId w:val="2"/>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isplayBackgroundShape/>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104"/>
    <w:rsid w:val="000101CE"/>
    <w:rsid w:val="00013AA5"/>
    <w:rsid w:val="00014EBD"/>
    <w:rsid w:val="00017DB8"/>
    <w:rsid w:val="000713EF"/>
    <w:rsid w:val="00072249"/>
    <w:rsid w:val="00074672"/>
    <w:rsid w:val="00080E60"/>
    <w:rsid w:val="000852E9"/>
    <w:rsid w:val="00087590"/>
    <w:rsid w:val="000935E2"/>
    <w:rsid w:val="000A39FE"/>
    <w:rsid w:val="000D0B22"/>
    <w:rsid w:val="000E2AF3"/>
    <w:rsid w:val="000F08F0"/>
    <w:rsid w:val="000F1873"/>
    <w:rsid w:val="00102952"/>
    <w:rsid w:val="00104300"/>
    <w:rsid w:val="0010613F"/>
    <w:rsid w:val="00115EFC"/>
    <w:rsid w:val="0014450D"/>
    <w:rsid w:val="00145614"/>
    <w:rsid w:val="00182D00"/>
    <w:rsid w:val="001A007A"/>
    <w:rsid w:val="001A1025"/>
    <w:rsid w:val="001C2A43"/>
    <w:rsid w:val="001E0BE6"/>
    <w:rsid w:val="001E2B15"/>
    <w:rsid w:val="001E3C46"/>
    <w:rsid w:val="001F7019"/>
    <w:rsid w:val="00211AA8"/>
    <w:rsid w:val="00220633"/>
    <w:rsid w:val="00225190"/>
    <w:rsid w:val="00231F3F"/>
    <w:rsid w:val="00245BC3"/>
    <w:rsid w:val="00261D4E"/>
    <w:rsid w:val="00292443"/>
    <w:rsid w:val="002C60C5"/>
    <w:rsid w:val="002D0DDC"/>
    <w:rsid w:val="002D44E5"/>
    <w:rsid w:val="00330EAD"/>
    <w:rsid w:val="00346BF5"/>
    <w:rsid w:val="0035625F"/>
    <w:rsid w:val="00362881"/>
    <w:rsid w:val="00381302"/>
    <w:rsid w:val="0039180E"/>
    <w:rsid w:val="00395401"/>
    <w:rsid w:val="003A71EA"/>
    <w:rsid w:val="003B5155"/>
    <w:rsid w:val="003B6B5B"/>
    <w:rsid w:val="003C761E"/>
    <w:rsid w:val="003D2D77"/>
    <w:rsid w:val="003D3D70"/>
    <w:rsid w:val="003F51D3"/>
    <w:rsid w:val="00417BD7"/>
    <w:rsid w:val="00431805"/>
    <w:rsid w:val="00434010"/>
    <w:rsid w:val="0047352D"/>
    <w:rsid w:val="00474685"/>
    <w:rsid w:val="004B3BC6"/>
    <w:rsid w:val="004D2B2A"/>
    <w:rsid w:val="004E4EBF"/>
    <w:rsid w:val="00511E0E"/>
    <w:rsid w:val="005150B4"/>
    <w:rsid w:val="005235B0"/>
    <w:rsid w:val="005272C3"/>
    <w:rsid w:val="005362C6"/>
    <w:rsid w:val="005444E3"/>
    <w:rsid w:val="0054563E"/>
    <w:rsid w:val="00547280"/>
    <w:rsid w:val="00555E83"/>
    <w:rsid w:val="005721C2"/>
    <w:rsid w:val="005C3B95"/>
    <w:rsid w:val="005C473F"/>
    <w:rsid w:val="005D5916"/>
    <w:rsid w:val="005F19D3"/>
    <w:rsid w:val="005F3FAE"/>
    <w:rsid w:val="005F63B5"/>
    <w:rsid w:val="006003CA"/>
    <w:rsid w:val="00607B33"/>
    <w:rsid w:val="00615880"/>
    <w:rsid w:val="0062121C"/>
    <w:rsid w:val="0062189E"/>
    <w:rsid w:val="00624B7E"/>
    <w:rsid w:val="00636961"/>
    <w:rsid w:val="006401E0"/>
    <w:rsid w:val="0066542D"/>
    <w:rsid w:val="00670ED1"/>
    <w:rsid w:val="00693E26"/>
    <w:rsid w:val="006A2441"/>
    <w:rsid w:val="006A6B3F"/>
    <w:rsid w:val="006B2E78"/>
    <w:rsid w:val="006C288D"/>
    <w:rsid w:val="006D6073"/>
    <w:rsid w:val="006F3C2F"/>
    <w:rsid w:val="007417AA"/>
    <w:rsid w:val="00755DDF"/>
    <w:rsid w:val="00766848"/>
    <w:rsid w:val="00781462"/>
    <w:rsid w:val="007A415B"/>
    <w:rsid w:val="007A75DC"/>
    <w:rsid w:val="007C2647"/>
    <w:rsid w:val="007D3640"/>
    <w:rsid w:val="007D59B4"/>
    <w:rsid w:val="007F5BCE"/>
    <w:rsid w:val="007F7FC0"/>
    <w:rsid w:val="00810376"/>
    <w:rsid w:val="00812C19"/>
    <w:rsid w:val="00815F8F"/>
    <w:rsid w:val="0082551E"/>
    <w:rsid w:val="00851185"/>
    <w:rsid w:val="008545EF"/>
    <w:rsid w:val="008609FF"/>
    <w:rsid w:val="008A4F5B"/>
    <w:rsid w:val="008B0D4B"/>
    <w:rsid w:val="008B19F5"/>
    <w:rsid w:val="008B73D7"/>
    <w:rsid w:val="008E6D4C"/>
    <w:rsid w:val="008F75EA"/>
    <w:rsid w:val="00935EC3"/>
    <w:rsid w:val="009409B1"/>
    <w:rsid w:val="009414D0"/>
    <w:rsid w:val="00943A11"/>
    <w:rsid w:val="00977ECD"/>
    <w:rsid w:val="009A38CB"/>
    <w:rsid w:val="009E56AE"/>
    <w:rsid w:val="009F2D12"/>
    <w:rsid w:val="00A00ED2"/>
    <w:rsid w:val="00A150DF"/>
    <w:rsid w:val="00A17E16"/>
    <w:rsid w:val="00A22F3B"/>
    <w:rsid w:val="00A31978"/>
    <w:rsid w:val="00A40C3F"/>
    <w:rsid w:val="00A45A57"/>
    <w:rsid w:val="00A74230"/>
    <w:rsid w:val="00A817D2"/>
    <w:rsid w:val="00A86924"/>
    <w:rsid w:val="00A9134F"/>
    <w:rsid w:val="00A9522F"/>
    <w:rsid w:val="00AA6277"/>
    <w:rsid w:val="00AB0F60"/>
    <w:rsid w:val="00AB4079"/>
    <w:rsid w:val="00AC0678"/>
    <w:rsid w:val="00AC4C8E"/>
    <w:rsid w:val="00AC7626"/>
    <w:rsid w:val="00AC7931"/>
    <w:rsid w:val="00AD6FFA"/>
    <w:rsid w:val="00AE0F78"/>
    <w:rsid w:val="00AE11BD"/>
    <w:rsid w:val="00AE1AED"/>
    <w:rsid w:val="00B03979"/>
    <w:rsid w:val="00B20873"/>
    <w:rsid w:val="00B37AB3"/>
    <w:rsid w:val="00B46796"/>
    <w:rsid w:val="00B47F59"/>
    <w:rsid w:val="00B71B73"/>
    <w:rsid w:val="00B74F45"/>
    <w:rsid w:val="00B75E7D"/>
    <w:rsid w:val="00BA5CCD"/>
    <w:rsid w:val="00BA5FAD"/>
    <w:rsid w:val="00BB1683"/>
    <w:rsid w:val="00BC59CE"/>
    <w:rsid w:val="00BD144C"/>
    <w:rsid w:val="00BE5138"/>
    <w:rsid w:val="00C234F4"/>
    <w:rsid w:val="00C2545B"/>
    <w:rsid w:val="00C361B2"/>
    <w:rsid w:val="00C46C4B"/>
    <w:rsid w:val="00C478F6"/>
    <w:rsid w:val="00C578FB"/>
    <w:rsid w:val="00C6023C"/>
    <w:rsid w:val="00C72BBC"/>
    <w:rsid w:val="00C93B03"/>
    <w:rsid w:val="00CB0A22"/>
    <w:rsid w:val="00CD274F"/>
    <w:rsid w:val="00D0328E"/>
    <w:rsid w:val="00D278DF"/>
    <w:rsid w:val="00D3107D"/>
    <w:rsid w:val="00D35C7D"/>
    <w:rsid w:val="00D43D10"/>
    <w:rsid w:val="00D939C5"/>
    <w:rsid w:val="00DB1104"/>
    <w:rsid w:val="00DC0D79"/>
    <w:rsid w:val="00DD7541"/>
    <w:rsid w:val="00E103E4"/>
    <w:rsid w:val="00E12B83"/>
    <w:rsid w:val="00E328F5"/>
    <w:rsid w:val="00E33234"/>
    <w:rsid w:val="00E52ED8"/>
    <w:rsid w:val="00E5424F"/>
    <w:rsid w:val="00E729CE"/>
    <w:rsid w:val="00E8334F"/>
    <w:rsid w:val="00EA1BD1"/>
    <w:rsid w:val="00EB247B"/>
    <w:rsid w:val="00ED1ABA"/>
    <w:rsid w:val="00F03A1B"/>
    <w:rsid w:val="00F065D4"/>
    <w:rsid w:val="00F21C79"/>
    <w:rsid w:val="00F4316D"/>
    <w:rsid w:val="00F519E8"/>
    <w:rsid w:val="00F5759D"/>
    <w:rsid w:val="00F75BF7"/>
    <w:rsid w:val="00F765D3"/>
    <w:rsid w:val="00F76AEC"/>
    <w:rsid w:val="00F92C4A"/>
    <w:rsid w:val="00FA08CE"/>
    <w:rsid w:val="00FC0E60"/>
    <w:rsid w:val="00FC48C6"/>
    <w:rsid w:val="00FD6420"/>
    <w:rsid w:val="00FF07FB"/>
    <w:rsid w:val="00FF7D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19"/>
    <w:pPr>
      <w:bidi/>
      <w:spacing w:after="200" w:line="276" w:lineRule="auto"/>
    </w:pPr>
  </w:style>
  <w:style w:type="paragraph" w:styleId="Heading1">
    <w:name w:val="heading 1"/>
    <w:basedOn w:val="Normal"/>
    <w:next w:val="Normal"/>
    <w:link w:val="Heading1Char"/>
    <w:uiPriority w:val="99"/>
    <w:qFormat/>
    <w:rsid w:val="0010613F"/>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613F"/>
    <w:rPr>
      <w:rFonts w:ascii="Cambria" w:hAnsi="Cambria" w:cs="Times New Roman"/>
      <w:b/>
      <w:bCs/>
      <w:color w:val="365F91"/>
      <w:sz w:val="28"/>
      <w:szCs w:val="28"/>
    </w:rPr>
  </w:style>
  <w:style w:type="table" w:styleId="TableGrid">
    <w:name w:val="Table Grid"/>
    <w:basedOn w:val="TableNormal"/>
    <w:uiPriority w:val="99"/>
    <w:rsid w:val="007A75DC"/>
    <w:rPr>
      <w:sz w:val="20"/>
      <w:szCs w:val="20"/>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A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5DC"/>
    <w:rPr>
      <w:rFonts w:ascii="Tahoma" w:hAnsi="Tahoma" w:cs="Tahoma"/>
      <w:sz w:val="16"/>
      <w:szCs w:val="16"/>
    </w:rPr>
  </w:style>
  <w:style w:type="paragraph" w:styleId="ListParagraph">
    <w:name w:val="List Paragraph"/>
    <w:basedOn w:val="Normal"/>
    <w:uiPriority w:val="99"/>
    <w:qFormat/>
    <w:rsid w:val="00E52ED8"/>
    <w:pPr>
      <w:ind w:left="720"/>
    </w:pPr>
  </w:style>
  <w:style w:type="paragraph" w:styleId="Header">
    <w:name w:val="header"/>
    <w:basedOn w:val="Normal"/>
    <w:link w:val="HeaderChar"/>
    <w:uiPriority w:val="99"/>
    <w:rsid w:val="00C72BB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C72BBC"/>
    <w:rPr>
      <w:rFonts w:cs="Times New Roman"/>
    </w:rPr>
  </w:style>
  <w:style w:type="paragraph" w:styleId="Footer">
    <w:name w:val="footer"/>
    <w:basedOn w:val="Normal"/>
    <w:link w:val="FooterChar"/>
    <w:uiPriority w:val="99"/>
    <w:rsid w:val="00C72BB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C72BBC"/>
    <w:rPr>
      <w:rFonts w:cs="Times New Roman"/>
    </w:rPr>
  </w:style>
  <w:style w:type="character" w:customStyle="1" w:styleId="apple-converted-space">
    <w:name w:val="apple-converted-space"/>
    <w:basedOn w:val="DefaultParagraphFont"/>
    <w:uiPriority w:val="99"/>
    <w:rsid w:val="0010613F"/>
    <w:rPr>
      <w:rFonts w:cs="Times New Roman"/>
    </w:rPr>
  </w:style>
  <w:style w:type="character" w:styleId="Emphasis">
    <w:name w:val="Emphasis"/>
    <w:basedOn w:val="DefaultParagraphFont"/>
    <w:uiPriority w:val="99"/>
    <w:qFormat/>
    <w:rsid w:val="0010613F"/>
    <w:rPr>
      <w:rFonts w:cs="Times New Roman"/>
      <w:i/>
      <w:iCs/>
    </w:rPr>
  </w:style>
</w:styles>
</file>

<file path=word/webSettings.xml><?xml version="1.0" encoding="utf-8"?>
<w:webSettings xmlns:r="http://schemas.openxmlformats.org/officeDocument/2006/relationships" xmlns:w="http://schemas.openxmlformats.org/wordprocessingml/2006/main">
  <w:divs>
    <w:div w:id="754322698">
      <w:marLeft w:val="0"/>
      <w:marRight w:val="0"/>
      <w:marTop w:val="0"/>
      <w:marBottom w:val="0"/>
      <w:divBdr>
        <w:top w:val="none" w:sz="0" w:space="0" w:color="auto"/>
        <w:left w:val="none" w:sz="0" w:space="0" w:color="auto"/>
        <w:bottom w:val="none" w:sz="0" w:space="0" w:color="auto"/>
        <w:right w:val="none" w:sz="0" w:space="0" w:color="auto"/>
      </w:divBdr>
    </w:div>
    <w:div w:id="754322699">
      <w:marLeft w:val="0"/>
      <w:marRight w:val="0"/>
      <w:marTop w:val="0"/>
      <w:marBottom w:val="0"/>
      <w:divBdr>
        <w:top w:val="none" w:sz="0" w:space="0" w:color="auto"/>
        <w:left w:val="none" w:sz="0" w:space="0" w:color="auto"/>
        <w:bottom w:val="none" w:sz="0" w:space="0" w:color="auto"/>
        <w:right w:val="none" w:sz="0" w:space="0" w:color="auto"/>
      </w:divBdr>
    </w:div>
    <w:div w:id="754322700">
      <w:marLeft w:val="0"/>
      <w:marRight w:val="0"/>
      <w:marTop w:val="0"/>
      <w:marBottom w:val="0"/>
      <w:divBdr>
        <w:top w:val="none" w:sz="0" w:space="0" w:color="auto"/>
        <w:left w:val="none" w:sz="0" w:space="0" w:color="auto"/>
        <w:bottom w:val="none" w:sz="0" w:space="0" w:color="auto"/>
        <w:right w:val="none" w:sz="0" w:space="0" w:color="auto"/>
      </w:divBdr>
    </w:div>
    <w:div w:id="754322701">
      <w:marLeft w:val="0"/>
      <w:marRight w:val="0"/>
      <w:marTop w:val="0"/>
      <w:marBottom w:val="0"/>
      <w:divBdr>
        <w:top w:val="none" w:sz="0" w:space="0" w:color="auto"/>
        <w:left w:val="none" w:sz="0" w:space="0" w:color="auto"/>
        <w:bottom w:val="none" w:sz="0" w:space="0" w:color="auto"/>
        <w:right w:val="none" w:sz="0" w:space="0" w:color="auto"/>
      </w:divBdr>
      <w:divsChild>
        <w:div w:id="754322709">
          <w:marLeft w:val="0"/>
          <w:marRight w:val="0"/>
          <w:marTop w:val="0"/>
          <w:marBottom w:val="0"/>
          <w:divBdr>
            <w:top w:val="none" w:sz="0" w:space="0" w:color="auto"/>
            <w:left w:val="none" w:sz="0" w:space="0" w:color="auto"/>
            <w:bottom w:val="none" w:sz="0" w:space="0" w:color="auto"/>
            <w:right w:val="none" w:sz="0" w:space="0" w:color="auto"/>
          </w:divBdr>
          <w:divsChild>
            <w:div w:id="75432270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754322706">
      <w:marLeft w:val="0"/>
      <w:marRight w:val="0"/>
      <w:marTop w:val="0"/>
      <w:marBottom w:val="0"/>
      <w:divBdr>
        <w:top w:val="none" w:sz="0" w:space="0" w:color="auto"/>
        <w:left w:val="none" w:sz="0" w:space="0" w:color="auto"/>
        <w:bottom w:val="none" w:sz="0" w:space="0" w:color="auto"/>
        <w:right w:val="none" w:sz="0" w:space="0" w:color="auto"/>
      </w:divBdr>
      <w:divsChild>
        <w:div w:id="754322705">
          <w:marLeft w:val="0"/>
          <w:marRight w:val="0"/>
          <w:marTop w:val="0"/>
          <w:marBottom w:val="0"/>
          <w:divBdr>
            <w:top w:val="none" w:sz="0" w:space="0" w:color="auto"/>
            <w:left w:val="none" w:sz="0" w:space="0" w:color="auto"/>
            <w:bottom w:val="none" w:sz="0" w:space="0" w:color="auto"/>
            <w:right w:val="none" w:sz="0" w:space="0" w:color="auto"/>
          </w:divBdr>
        </w:div>
      </w:divsChild>
    </w:div>
    <w:div w:id="754322707">
      <w:marLeft w:val="0"/>
      <w:marRight w:val="0"/>
      <w:marTop w:val="0"/>
      <w:marBottom w:val="0"/>
      <w:divBdr>
        <w:top w:val="none" w:sz="0" w:space="0" w:color="auto"/>
        <w:left w:val="none" w:sz="0" w:space="0" w:color="auto"/>
        <w:bottom w:val="none" w:sz="0" w:space="0" w:color="auto"/>
        <w:right w:val="none" w:sz="0" w:space="0" w:color="auto"/>
      </w:divBdr>
    </w:div>
    <w:div w:id="754322708">
      <w:marLeft w:val="0"/>
      <w:marRight w:val="0"/>
      <w:marTop w:val="0"/>
      <w:marBottom w:val="0"/>
      <w:divBdr>
        <w:top w:val="none" w:sz="0" w:space="0" w:color="auto"/>
        <w:left w:val="none" w:sz="0" w:space="0" w:color="auto"/>
        <w:bottom w:val="none" w:sz="0" w:space="0" w:color="auto"/>
        <w:right w:val="none" w:sz="0" w:space="0" w:color="auto"/>
      </w:divBdr>
    </w:div>
    <w:div w:id="754322710">
      <w:marLeft w:val="0"/>
      <w:marRight w:val="0"/>
      <w:marTop w:val="0"/>
      <w:marBottom w:val="0"/>
      <w:divBdr>
        <w:top w:val="none" w:sz="0" w:space="0" w:color="auto"/>
        <w:left w:val="none" w:sz="0" w:space="0" w:color="auto"/>
        <w:bottom w:val="none" w:sz="0" w:space="0" w:color="auto"/>
        <w:right w:val="none" w:sz="0" w:space="0" w:color="auto"/>
      </w:divBdr>
    </w:div>
    <w:div w:id="754322711">
      <w:marLeft w:val="0"/>
      <w:marRight w:val="0"/>
      <w:marTop w:val="0"/>
      <w:marBottom w:val="0"/>
      <w:divBdr>
        <w:top w:val="none" w:sz="0" w:space="0" w:color="auto"/>
        <w:left w:val="none" w:sz="0" w:space="0" w:color="auto"/>
        <w:bottom w:val="none" w:sz="0" w:space="0" w:color="auto"/>
        <w:right w:val="none" w:sz="0" w:space="0" w:color="auto"/>
      </w:divBdr>
    </w:div>
    <w:div w:id="754322712">
      <w:marLeft w:val="0"/>
      <w:marRight w:val="0"/>
      <w:marTop w:val="0"/>
      <w:marBottom w:val="0"/>
      <w:divBdr>
        <w:top w:val="none" w:sz="0" w:space="0" w:color="auto"/>
        <w:left w:val="none" w:sz="0" w:space="0" w:color="auto"/>
        <w:bottom w:val="none" w:sz="0" w:space="0" w:color="auto"/>
        <w:right w:val="none" w:sz="0" w:space="0" w:color="auto"/>
      </w:divBdr>
      <w:divsChild>
        <w:div w:id="754322703">
          <w:marLeft w:val="0"/>
          <w:marRight w:val="0"/>
          <w:marTop w:val="0"/>
          <w:marBottom w:val="0"/>
          <w:divBdr>
            <w:top w:val="none" w:sz="0" w:space="0" w:color="auto"/>
            <w:left w:val="none" w:sz="0" w:space="0" w:color="auto"/>
            <w:bottom w:val="none" w:sz="0" w:space="0" w:color="auto"/>
            <w:right w:val="none" w:sz="0" w:space="0" w:color="auto"/>
          </w:divBdr>
          <w:divsChild>
            <w:div w:id="75432270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hyperlink" Target="http://link.springer.com/journal/1193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ptasiamedical.com/nofs-newly-revised-2013-clinicians-guide-to-osteoporosis-highlights-importance-of-vertebral-imaging/" TargetMode="Externa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optasiamedical.com/nofs-newly-revised-2013-clinicians-guide-to-osteoporosis-highlights-importance-of-vertebral-imag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google.com.sa/url?sa=t&amp;rct=j&amp;q=&amp;esrc=s&amp;source=web&amp;cd=1&amp;cad=rja&amp;ved=0CCkQFjAA&amp;url=http%3A%2F%2Fwww.who.int%2Fmediacentre%2Ffactsheets%2Ffs311%2Fen%2F&amp;ei=np3PUqPqCoKp0QWRgoHIAw&amp;usg=AFQjCNFGC7GjyG1PORGZxDb1PSD6xnDxGA" TargetMode="External"/><Relationship Id="rId10" Type="http://schemas.openxmlformats.org/officeDocument/2006/relationships/oleObject" Target="embeddings/oleObject2.bin"/><Relationship Id="rId19" Type="http://schemas.openxmlformats.org/officeDocument/2006/relationships/hyperlink" Target="http://link.springer.com/journal/11938/9/6/page/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hyperlink" Target="http://emedicine.medscape.com/article/985333-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4139</Words>
  <Characters>23594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osteocalcin and deoxypyridinoline for early ‎detection of osteoporosis in obese children</dc:title>
  <dc:subject/>
  <dc:creator>DR.KHALED SAEED</dc:creator>
  <cp:keywords/>
  <dc:description/>
  <cp:lastModifiedBy>mdht</cp:lastModifiedBy>
  <cp:revision>3</cp:revision>
  <cp:lastPrinted>2014-01-12T08:48:00Z</cp:lastPrinted>
  <dcterms:created xsi:type="dcterms:W3CDTF">2014-05-18T11:06:00Z</dcterms:created>
  <dcterms:modified xsi:type="dcterms:W3CDTF">2014-05-18T11:07:00Z</dcterms:modified>
</cp:coreProperties>
</file>