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3B5" w:rsidRPr="00E2283E" w:rsidRDefault="008F03B5" w:rsidP="00E2283E">
      <w:pPr>
        <w:bidi w:val="0"/>
        <w:spacing w:after="0" w:line="360" w:lineRule="auto"/>
        <w:ind w:firstLine="425"/>
        <w:jc w:val="both"/>
        <w:rPr>
          <w:lang/>
        </w:rPr>
      </w:pPr>
      <w:r w:rsidRPr="00E2283E">
        <w:rPr>
          <w:lang/>
        </w:rPr>
        <w:t>Serum level of insulin like growth factor-1 in children with chronic liver disease</w:t>
      </w:r>
    </w:p>
    <w:p w:rsidR="008F03B5" w:rsidRPr="00E2283E" w:rsidRDefault="008F03B5" w:rsidP="00E2283E">
      <w:pPr>
        <w:bidi w:val="0"/>
        <w:spacing w:after="0" w:line="360" w:lineRule="auto"/>
        <w:ind w:firstLine="425"/>
        <w:jc w:val="both"/>
        <w:rPr>
          <w:lang/>
        </w:rPr>
      </w:pPr>
      <w:r w:rsidRPr="00E2283E">
        <w:rPr>
          <w:lang/>
        </w:rPr>
        <w:t>Prepared by: Hany Fathy Ahmed</w:t>
      </w:r>
    </w:p>
    <w:p w:rsidR="008F03B5" w:rsidRPr="00E2283E" w:rsidRDefault="008F03B5" w:rsidP="00E2283E">
      <w:pPr>
        <w:bidi w:val="0"/>
        <w:spacing w:after="0" w:line="360" w:lineRule="auto"/>
        <w:ind w:firstLine="425"/>
        <w:jc w:val="both"/>
        <w:rPr>
          <w:lang/>
        </w:rPr>
      </w:pPr>
      <w:r w:rsidRPr="00E2283E">
        <w:rPr>
          <w:lang/>
        </w:rPr>
        <w:t>Supervised by:</w:t>
      </w:r>
    </w:p>
    <w:p w:rsidR="008F03B5" w:rsidRPr="00E2283E" w:rsidRDefault="008F03B5" w:rsidP="00E2283E">
      <w:pPr>
        <w:bidi w:val="0"/>
        <w:spacing w:after="0" w:line="360" w:lineRule="auto"/>
        <w:ind w:firstLine="425"/>
        <w:jc w:val="both"/>
        <w:outlineLvl w:val="0"/>
        <w:rPr>
          <w:lang/>
        </w:rPr>
      </w:pPr>
      <w:r w:rsidRPr="00E2283E">
        <w:rPr>
          <w:lang/>
        </w:rPr>
        <w:t>Dr. Ehab Mohamed Eid, Professor of Public Health, Institute of Postgraduate Childhood Studies, Ain shams University.</w:t>
      </w:r>
    </w:p>
    <w:p w:rsidR="008F03B5" w:rsidRPr="00E2283E" w:rsidRDefault="008F03B5" w:rsidP="00E2283E">
      <w:pPr>
        <w:bidi w:val="0"/>
        <w:spacing w:after="0" w:line="360" w:lineRule="auto"/>
        <w:ind w:firstLine="425"/>
        <w:jc w:val="both"/>
        <w:outlineLvl w:val="0"/>
        <w:rPr>
          <w:rtl/>
          <w:lang/>
        </w:rPr>
      </w:pPr>
      <w:r w:rsidRPr="00E2283E">
        <w:rPr>
          <w:lang/>
        </w:rPr>
        <w:t>Dr. Moushira Erfan Zaki, Professor of Human Genetics, Biological Anthropology Department, National Research Centre.</w:t>
      </w:r>
    </w:p>
    <w:p w:rsidR="008F03B5" w:rsidRPr="00E2283E" w:rsidRDefault="008F03B5" w:rsidP="00E2283E">
      <w:pPr>
        <w:bidi w:val="0"/>
        <w:spacing w:after="0" w:line="360" w:lineRule="auto"/>
        <w:ind w:firstLine="425"/>
        <w:jc w:val="both"/>
        <w:rPr>
          <w:rtl/>
          <w:lang/>
        </w:rPr>
      </w:pPr>
      <w:r w:rsidRPr="00E2283E">
        <w:rPr>
          <w:lang/>
        </w:rPr>
        <w:t>Dr. Rokaya Mohamed El-Sayed, Professor of Pediatrics, Faculty of Medicine, Cairo University.</w:t>
      </w:r>
    </w:p>
    <w:p w:rsidR="008F03B5" w:rsidRPr="00E2283E" w:rsidRDefault="008F03B5" w:rsidP="00E2283E">
      <w:pPr>
        <w:bidi w:val="0"/>
        <w:spacing w:after="0" w:line="360" w:lineRule="auto"/>
        <w:ind w:firstLine="425"/>
        <w:jc w:val="both"/>
        <w:rPr>
          <w:lang/>
        </w:rPr>
      </w:pPr>
      <w:r w:rsidRPr="00E2283E">
        <w:rPr>
          <w:lang/>
        </w:rPr>
        <w:t>Dr. Mona Anwar Mohamed, Professor of Medical Biochemistry, National Research Centre.</w:t>
      </w:r>
    </w:p>
    <w:p w:rsidR="008F03B5" w:rsidRPr="00E2283E" w:rsidRDefault="008F03B5" w:rsidP="00E2283E">
      <w:pPr>
        <w:bidi w:val="0"/>
        <w:spacing w:after="0" w:line="360" w:lineRule="auto"/>
        <w:ind w:firstLine="425"/>
        <w:jc w:val="both"/>
        <w:rPr>
          <w:rtl/>
          <w:lang/>
        </w:rPr>
      </w:pPr>
      <w:r w:rsidRPr="00E2283E">
        <w:rPr>
          <w:lang/>
        </w:rPr>
        <w:t>Abstract</w:t>
      </w:r>
    </w:p>
    <w:p w:rsidR="008F03B5" w:rsidRPr="00E2283E" w:rsidRDefault="008F03B5" w:rsidP="00E2283E">
      <w:pPr>
        <w:bidi w:val="0"/>
        <w:spacing w:after="0" w:line="360" w:lineRule="auto"/>
        <w:ind w:firstLine="425"/>
        <w:jc w:val="both"/>
        <w:rPr>
          <w:lang/>
        </w:rPr>
      </w:pPr>
      <w:r w:rsidRPr="00E2283E">
        <w:rPr>
          <w:lang/>
        </w:rPr>
        <w:t xml:space="preserve">Background: Malnutrition and growth retardation are important consequences of CLD in childhood. </w:t>
      </w:r>
      <w:r w:rsidRPr="00E2283E">
        <w:rPr>
          <w:rFonts w:eastAsia="HelveticaNeue-Roman"/>
          <w:lang/>
        </w:rPr>
        <w:t>Although IGF is a marker of protein metabolism, that can be used to assess malnutrition. However, in CLD, with impaired IGF synthesis, its use may lead to an exaggeration of the degree of malnutrition</w:t>
      </w:r>
      <w:r w:rsidRPr="00E2283E">
        <w:rPr>
          <w:lang/>
        </w:rPr>
        <w:t>.  Objectives: to determine the level of IGF-1 in these patients and to demonstrate the relation between its level and the degree of malnutrition and the degree of hepatic dysfunction. Methodology: Fifty children with CLD, recruited from the outpatient clinic of pediatric hepatology and from the pediatric hepatology department of Pediatric Hospital, Cairo University, were enrolled in the study. Their mean age was 2.05 years (ranged from 0.5 to 5.75 years). They were compared with an age and sex-matched normal healthy children (control group). Anthropometric measurements, liver function tests and serum level of IGF-1 were performed. Assessment of severity of liver disease was done using the modified Child-Pugh score. Results:  Results revealed that serum IGF-1 level was significantly lower in patients compared to controls, and it was significantly lower in Child Pugh C compared to Child Pugh B and A, and it was significantly lower in Child Pugh B compared to Child Pugh A.  Moreover, there was no significant correlation between any of the anthropometric parameters and serum IGF-1. Conclusion: In CLD, IGF-I level is inversely correlated to the degree of liver dysfunction rather than the degree of malnutrition.</w:t>
      </w:r>
    </w:p>
    <w:p w:rsidR="008F03B5" w:rsidRPr="00E2283E" w:rsidRDefault="008F03B5" w:rsidP="00E2283E">
      <w:pPr>
        <w:bidi w:val="0"/>
        <w:spacing w:after="0" w:line="360" w:lineRule="auto"/>
        <w:ind w:firstLine="425"/>
        <w:jc w:val="both"/>
        <w:rPr>
          <w:lang/>
        </w:rPr>
      </w:pPr>
      <w:r w:rsidRPr="00E2283E">
        <w:rPr>
          <w:lang/>
        </w:rPr>
        <w:t>Key words: - IGF-1- Children - Chronic Liver Disease</w:t>
      </w:r>
    </w:p>
    <w:p w:rsidR="008F03B5" w:rsidRPr="00E2283E" w:rsidRDefault="008F03B5" w:rsidP="00E2283E">
      <w:pPr>
        <w:bidi w:val="0"/>
        <w:spacing w:after="0" w:line="360" w:lineRule="auto"/>
        <w:ind w:firstLine="425"/>
        <w:jc w:val="both"/>
        <w:rPr>
          <w:rtl/>
          <w:lang/>
        </w:rPr>
      </w:pPr>
      <w:r w:rsidRPr="00E2283E">
        <w:rPr>
          <w:rFonts w:hint="eastAsia"/>
          <w:rtl/>
          <w:lang/>
        </w:rPr>
        <w:t>مستوى</w:t>
      </w:r>
      <w:r w:rsidRPr="00E2283E">
        <w:rPr>
          <w:rtl/>
          <w:lang/>
        </w:rPr>
        <w:t xml:space="preserve"> </w:t>
      </w:r>
      <w:r w:rsidRPr="00E2283E">
        <w:rPr>
          <w:rFonts w:hint="eastAsia"/>
          <w:rtl/>
          <w:lang/>
        </w:rPr>
        <w:t>عامل</w:t>
      </w:r>
      <w:r w:rsidRPr="00E2283E">
        <w:rPr>
          <w:rtl/>
          <w:lang/>
        </w:rPr>
        <w:t xml:space="preserve"> </w:t>
      </w:r>
      <w:r w:rsidRPr="00E2283E">
        <w:rPr>
          <w:rFonts w:hint="eastAsia"/>
          <w:rtl/>
          <w:lang/>
        </w:rPr>
        <w:t>النمو</w:t>
      </w:r>
      <w:r w:rsidRPr="00E2283E">
        <w:rPr>
          <w:rtl/>
          <w:lang/>
        </w:rPr>
        <w:t xml:space="preserve"> </w:t>
      </w:r>
      <w:r w:rsidRPr="00E2283E">
        <w:rPr>
          <w:rFonts w:hint="eastAsia"/>
          <w:rtl/>
          <w:lang/>
        </w:rPr>
        <w:t>شبيه</w:t>
      </w:r>
      <w:r w:rsidRPr="00E2283E">
        <w:rPr>
          <w:rtl/>
          <w:lang/>
        </w:rPr>
        <w:t xml:space="preserve"> </w:t>
      </w:r>
      <w:r w:rsidRPr="00E2283E">
        <w:rPr>
          <w:rFonts w:hint="eastAsia"/>
          <w:rtl/>
          <w:lang/>
        </w:rPr>
        <w:t>الإنسولين</w:t>
      </w:r>
      <w:r w:rsidRPr="00E2283E">
        <w:rPr>
          <w:rtl/>
          <w:lang/>
        </w:rPr>
        <w:t xml:space="preserve">-1 </w:t>
      </w:r>
      <w:r w:rsidRPr="00E2283E">
        <w:rPr>
          <w:rFonts w:hint="eastAsia"/>
          <w:rtl/>
          <w:lang/>
        </w:rPr>
        <w:t>فى</w:t>
      </w:r>
      <w:r w:rsidRPr="00E2283E">
        <w:rPr>
          <w:rtl/>
          <w:lang/>
        </w:rPr>
        <w:t xml:space="preserve"> </w:t>
      </w:r>
      <w:r w:rsidRPr="00E2283E">
        <w:rPr>
          <w:rFonts w:hint="eastAsia"/>
          <w:rtl/>
          <w:lang/>
        </w:rPr>
        <w:t>مصل</w:t>
      </w:r>
      <w:r w:rsidRPr="00E2283E">
        <w:rPr>
          <w:rtl/>
          <w:lang/>
        </w:rPr>
        <w:t xml:space="preserve"> </w:t>
      </w:r>
      <w:r w:rsidRPr="00E2283E">
        <w:rPr>
          <w:rFonts w:hint="eastAsia"/>
          <w:rtl/>
          <w:lang/>
        </w:rPr>
        <w:t>الأطفال</w:t>
      </w:r>
      <w:r w:rsidRPr="00E2283E">
        <w:rPr>
          <w:rtl/>
          <w:lang/>
        </w:rPr>
        <w:t xml:space="preserve"> </w:t>
      </w:r>
      <w:r w:rsidRPr="00E2283E">
        <w:rPr>
          <w:rFonts w:hint="eastAsia"/>
          <w:rtl/>
          <w:lang/>
        </w:rPr>
        <w:t>المصابين</w:t>
      </w:r>
      <w:r w:rsidRPr="00E2283E">
        <w:rPr>
          <w:rtl/>
          <w:lang/>
        </w:rPr>
        <w:t xml:space="preserve"> </w:t>
      </w:r>
      <w:r w:rsidRPr="00E2283E">
        <w:rPr>
          <w:rFonts w:hint="eastAsia"/>
          <w:rtl/>
          <w:lang/>
        </w:rPr>
        <w:t>بأمراض</w:t>
      </w:r>
      <w:r w:rsidRPr="00E2283E">
        <w:rPr>
          <w:rtl/>
          <w:lang/>
        </w:rPr>
        <w:t xml:space="preserve"> </w:t>
      </w:r>
      <w:r w:rsidRPr="00E2283E">
        <w:rPr>
          <w:rFonts w:hint="eastAsia"/>
          <w:rtl/>
          <w:lang/>
        </w:rPr>
        <w:t>الكبد</w:t>
      </w:r>
      <w:r w:rsidRPr="00E2283E">
        <w:rPr>
          <w:rtl/>
          <w:lang/>
        </w:rPr>
        <w:t xml:space="preserve"> </w:t>
      </w:r>
      <w:r w:rsidRPr="00E2283E">
        <w:rPr>
          <w:rFonts w:hint="eastAsia"/>
          <w:rtl/>
          <w:lang/>
        </w:rPr>
        <w:t>المزمنة</w:t>
      </w:r>
    </w:p>
    <w:p w:rsidR="008F03B5" w:rsidRPr="00E2283E" w:rsidRDefault="008F03B5" w:rsidP="00E2283E">
      <w:pPr>
        <w:spacing w:after="0" w:line="360" w:lineRule="auto"/>
        <w:ind w:firstLine="425"/>
        <w:jc w:val="both"/>
        <w:rPr>
          <w:rtl/>
          <w:lang/>
        </w:rPr>
      </w:pPr>
      <w:r w:rsidRPr="00E2283E">
        <w:rPr>
          <w:rFonts w:hint="eastAsia"/>
          <w:rtl/>
          <w:lang/>
        </w:rPr>
        <w:t>المستخلص</w:t>
      </w:r>
    </w:p>
    <w:p w:rsidR="008F03B5" w:rsidRPr="00E2283E" w:rsidRDefault="008F03B5" w:rsidP="00E2283E">
      <w:pPr>
        <w:spacing w:line="360" w:lineRule="auto"/>
        <w:ind w:firstLine="425"/>
        <w:jc w:val="both"/>
        <w:rPr>
          <w:rtl/>
          <w:lang/>
        </w:rPr>
      </w:pPr>
      <w:r w:rsidRPr="00E2283E">
        <w:rPr>
          <w:rFonts w:hint="eastAsia"/>
          <w:rtl/>
          <w:lang/>
        </w:rPr>
        <w:t>مقدمة</w:t>
      </w:r>
      <w:r w:rsidRPr="00E2283E">
        <w:rPr>
          <w:rtl/>
          <w:lang/>
        </w:rPr>
        <w:t xml:space="preserve">: </w:t>
      </w:r>
      <w:r w:rsidRPr="00E2283E">
        <w:rPr>
          <w:rFonts w:hint="eastAsia"/>
          <w:rtl/>
          <w:lang/>
        </w:rPr>
        <w:t>إن</w:t>
      </w:r>
      <w:r w:rsidRPr="00E2283E">
        <w:rPr>
          <w:rtl/>
          <w:lang/>
        </w:rPr>
        <w:t xml:space="preserve"> </w:t>
      </w:r>
      <w:r w:rsidRPr="00E2283E">
        <w:rPr>
          <w:rFonts w:hint="eastAsia"/>
          <w:rtl/>
          <w:lang/>
        </w:rPr>
        <w:t>تأخر</w:t>
      </w:r>
      <w:r w:rsidRPr="00E2283E">
        <w:rPr>
          <w:rtl/>
          <w:lang/>
        </w:rPr>
        <w:t xml:space="preserve"> </w:t>
      </w:r>
      <w:r w:rsidRPr="00E2283E">
        <w:rPr>
          <w:rFonts w:hint="eastAsia"/>
          <w:rtl/>
          <w:lang/>
        </w:rPr>
        <w:t>النمو</w:t>
      </w:r>
      <w:r w:rsidRPr="00E2283E">
        <w:rPr>
          <w:rtl/>
          <w:lang/>
        </w:rPr>
        <w:t xml:space="preserve"> </w:t>
      </w:r>
      <w:r w:rsidRPr="00E2283E">
        <w:rPr>
          <w:rFonts w:hint="eastAsia"/>
          <w:rtl/>
          <w:lang/>
        </w:rPr>
        <w:t>و</w:t>
      </w:r>
      <w:r w:rsidRPr="00E2283E">
        <w:rPr>
          <w:rtl/>
          <w:lang/>
        </w:rPr>
        <w:t xml:space="preserve"> </w:t>
      </w:r>
      <w:r w:rsidRPr="00E2283E">
        <w:rPr>
          <w:rFonts w:hint="eastAsia"/>
          <w:rtl/>
          <w:lang/>
        </w:rPr>
        <w:t>سوء</w:t>
      </w:r>
      <w:r w:rsidRPr="00E2283E">
        <w:rPr>
          <w:rtl/>
          <w:lang/>
        </w:rPr>
        <w:t xml:space="preserve"> </w:t>
      </w:r>
      <w:r w:rsidRPr="00E2283E">
        <w:rPr>
          <w:rFonts w:hint="eastAsia"/>
          <w:rtl/>
          <w:lang/>
        </w:rPr>
        <w:t>التغذية</w:t>
      </w:r>
      <w:r w:rsidRPr="00E2283E">
        <w:rPr>
          <w:rtl/>
          <w:lang/>
        </w:rPr>
        <w:t xml:space="preserve"> </w:t>
      </w:r>
      <w:r w:rsidRPr="00E2283E">
        <w:rPr>
          <w:rFonts w:hint="eastAsia"/>
          <w:rtl/>
          <w:lang/>
        </w:rPr>
        <w:t>من</w:t>
      </w:r>
      <w:r w:rsidRPr="00E2283E">
        <w:rPr>
          <w:rtl/>
          <w:lang/>
        </w:rPr>
        <w:t xml:space="preserve"> </w:t>
      </w:r>
      <w:r w:rsidRPr="00E2283E">
        <w:rPr>
          <w:rFonts w:hint="eastAsia"/>
          <w:rtl/>
          <w:lang/>
        </w:rPr>
        <w:t>أكبر</w:t>
      </w:r>
      <w:r w:rsidRPr="00E2283E">
        <w:rPr>
          <w:rtl/>
          <w:lang/>
        </w:rPr>
        <w:t xml:space="preserve"> </w:t>
      </w:r>
      <w:r w:rsidRPr="00E2283E">
        <w:rPr>
          <w:rFonts w:hint="eastAsia"/>
          <w:rtl/>
          <w:lang/>
        </w:rPr>
        <w:t>المشاكل</w:t>
      </w:r>
      <w:r w:rsidRPr="00E2283E">
        <w:rPr>
          <w:rtl/>
          <w:lang/>
        </w:rPr>
        <w:t xml:space="preserve"> </w:t>
      </w:r>
      <w:r w:rsidRPr="00E2283E">
        <w:rPr>
          <w:rFonts w:hint="eastAsia"/>
          <w:rtl/>
          <w:lang/>
        </w:rPr>
        <w:t>التى</w:t>
      </w:r>
      <w:r w:rsidRPr="00E2283E">
        <w:rPr>
          <w:rtl/>
          <w:lang/>
        </w:rPr>
        <w:t xml:space="preserve"> </w:t>
      </w:r>
      <w:r w:rsidRPr="00E2283E">
        <w:rPr>
          <w:rFonts w:hint="eastAsia"/>
          <w:rtl/>
          <w:lang/>
        </w:rPr>
        <w:t>يعاني</w:t>
      </w:r>
      <w:r w:rsidRPr="00E2283E">
        <w:rPr>
          <w:rtl/>
          <w:lang/>
        </w:rPr>
        <w:t xml:space="preserve"> </w:t>
      </w:r>
      <w:r w:rsidRPr="00E2283E">
        <w:rPr>
          <w:rFonts w:hint="eastAsia"/>
          <w:rtl/>
          <w:lang/>
        </w:rPr>
        <w:t>منها</w:t>
      </w:r>
      <w:r w:rsidRPr="00E2283E">
        <w:rPr>
          <w:rtl/>
          <w:lang/>
        </w:rPr>
        <w:t xml:space="preserve"> </w:t>
      </w:r>
      <w:r w:rsidRPr="00E2283E">
        <w:rPr>
          <w:rFonts w:hint="eastAsia"/>
          <w:rtl/>
          <w:lang/>
        </w:rPr>
        <w:t>الأطفال</w:t>
      </w:r>
      <w:r w:rsidRPr="00E2283E">
        <w:rPr>
          <w:rtl/>
          <w:lang/>
        </w:rPr>
        <w:t xml:space="preserve"> </w:t>
      </w:r>
      <w:r w:rsidRPr="00E2283E">
        <w:rPr>
          <w:rFonts w:hint="eastAsia"/>
          <w:rtl/>
          <w:lang/>
        </w:rPr>
        <w:t>المصابون</w:t>
      </w:r>
      <w:r w:rsidRPr="00E2283E">
        <w:rPr>
          <w:rtl/>
          <w:lang/>
        </w:rPr>
        <w:t xml:space="preserve"> </w:t>
      </w:r>
      <w:r w:rsidRPr="00E2283E">
        <w:rPr>
          <w:rFonts w:hint="eastAsia"/>
          <w:rtl/>
          <w:lang/>
        </w:rPr>
        <w:t>بأمراض</w:t>
      </w:r>
      <w:r w:rsidRPr="00E2283E">
        <w:rPr>
          <w:rtl/>
          <w:lang/>
        </w:rPr>
        <w:t xml:space="preserve"> </w:t>
      </w:r>
      <w:r w:rsidRPr="00E2283E">
        <w:rPr>
          <w:rFonts w:hint="eastAsia"/>
          <w:rtl/>
          <w:lang/>
        </w:rPr>
        <w:t>الكبد</w:t>
      </w:r>
      <w:r w:rsidRPr="00E2283E">
        <w:rPr>
          <w:rtl/>
          <w:lang/>
        </w:rPr>
        <w:t xml:space="preserve"> </w:t>
      </w:r>
      <w:r w:rsidRPr="00E2283E">
        <w:rPr>
          <w:rFonts w:hint="eastAsia"/>
          <w:rtl/>
          <w:lang/>
        </w:rPr>
        <w:t>المزمنة</w:t>
      </w:r>
      <w:r w:rsidRPr="00E2283E">
        <w:rPr>
          <w:lang/>
        </w:rPr>
        <w:t>.</w:t>
      </w:r>
      <w:r w:rsidRPr="00E2283E">
        <w:rPr>
          <w:rtl/>
          <w:lang/>
        </w:rPr>
        <w:t xml:space="preserve"> </w:t>
      </w:r>
      <w:r w:rsidRPr="00E2283E">
        <w:rPr>
          <w:rFonts w:hint="eastAsia"/>
          <w:rtl/>
          <w:lang/>
        </w:rPr>
        <w:t>بالرغم</w:t>
      </w:r>
      <w:r w:rsidRPr="00E2283E">
        <w:rPr>
          <w:rtl/>
          <w:lang/>
        </w:rPr>
        <w:t xml:space="preserve"> </w:t>
      </w:r>
      <w:r w:rsidRPr="00E2283E">
        <w:rPr>
          <w:rFonts w:hint="eastAsia"/>
          <w:rtl/>
          <w:lang/>
        </w:rPr>
        <w:t>من</w:t>
      </w:r>
      <w:r w:rsidRPr="00E2283E">
        <w:rPr>
          <w:rtl/>
          <w:lang/>
        </w:rPr>
        <w:t xml:space="preserve"> </w:t>
      </w:r>
      <w:r w:rsidRPr="00E2283E">
        <w:rPr>
          <w:rFonts w:hint="eastAsia"/>
          <w:rtl/>
          <w:lang/>
        </w:rPr>
        <w:t>أن</w:t>
      </w:r>
      <w:r w:rsidRPr="00E2283E">
        <w:rPr>
          <w:rtl/>
          <w:lang/>
        </w:rPr>
        <w:t xml:space="preserve"> </w:t>
      </w:r>
      <w:r w:rsidRPr="00E2283E">
        <w:rPr>
          <w:rFonts w:hint="eastAsia"/>
          <w:rtl/>
          <w:lang/>
        </w:rPr>
        <w:t>عامل</w:t>
      </w:r>
      <w:r w:rsidRPr="00E2283E">
        <w:rPr>
          <w:rtl/>
          <w:lang/>
        </w:rPr>
        <w:t xml:space="preserve"> </w:t>
      </w:r>
      <w:r w:rsidRPr="00E2283E">
        <w:rPr>
          <w:rFonts w:hint="eastAsia"/>
          <w:rtl/>
          <w:lang/>
        </w:rPr>
        <w:t>النمو</w:t>
      </w:r>
      <w:r w:rsidRPr="00E2283E">
        <w:rPr>
          <w:rtl/>
          <w:lang/>
        </w:rPr>
        <w:t xml:space="preserve"> </w:t>
      </w:r>
      <w:r w:rsidRPr="00E2283E">
        <w:rPr>
          <w:rFonts w:hint="eastAsia"/>
          <w:rtl/>
          <w:lang/>
        </w:rPr>
        <w:t>شبيه</w:t>
      </w:r>
      <w:r w:rsidRPr="00E2283E">
        <w:rPr>
          <w:rtl/>
          <w:lang/>
        </w:rPr>
        <w:t xml:space="preserve"> </w:t>
      </w:r>
      <w:r w:rsidRPr="00E2283E">
        <w:rPr>
          <w:rFonts w:hint="eastAsia"/>
          <w:rtl/>
          <w:lang/>
        </w:rPr>
        <w:t>الإنسولين</w:t>
      </w:r>
      <w:r w:rsidRPr="00E2283E">
        <w:rPr>
          <w:rtl/>
          <w:lang/>
        </w:rPr>
        <w:t>-1</w:t>
      </w:r>
      <w:r w:rsidRPr="00E2283E">
        <w:rPr>
          <w:lang/>
        </w:rPr>
        <w:t xml:space="preserve"> </w:t>
      </w:r>
      <w:r w:rsidRPr="00E2283E">
        <w:rPr>
          <w:rFonts w:hint="eastAsia"/>
          <w:rtl/>
          <w:lang/>
        </w:rPr>
        <w:t>هو</w:t>
      </w:r>
      <w:r w:rsidRPr="00E2283E">
        <w:rPr>
          <w:rtl/>
          <w:lang/>
        </w:rPr>
        <w:t xml:space="preserve"> </w:t>
      </w:r>
      <w:r w:rsidRPr="00E2283E">
        <w:rPr>
          <w:rFonts w:hint="eastAsia"/>
          <w:rtl/>
          <w:lang/>
        </w:rPr>
        <w:t>أحد</w:t>
      </w:r>
      <w:r w:rsidRPr="00E2283E">
        <w:rPr>
          <w:rtl/>
          <w:lang/>
        </w:rPr>
        <w:t xml:space="preserve"> </w:t>
      </w:r>
      <w:r w:rsidRPr="00E2283E">
        <w:rPr>
          <w:rFonts w:hint="eastAsia"/>
          <w:rtl/>
          <w:lang/>
        </w:rPr>
        <w:t>دلائل</w:t>
      </w:r>
      <w:r w:rsidRPr="00E2283E">
        <w:rPr>
          <w:rtl/>
          <w:lang/>
        </w:rPr>
        <w:t xml:space="preserve"> </w:t>
      </w:r>
      <w:r w:rsidRPr="00E2283E">
        <w:rPr>
          <w:rFonts w:hint="eastAsia"/>
          <w:rtl/>
          <w:lang/>
        </w:rPr>
        <w:t>عملية</w:t>
      </w:r>
      <w:r w:rsidRPr="00E2283E">
        <w:rPr>
          <w:rtl/>
          <w:lang/>
        </w:rPr>
        <w:t xml:space="preserve"> </w:t>
      </w:r>
      <w:r w:rsidRPr="00E2283E">
        <w:rPr>
          <w:rFonts w:hint="eastAsia"/>
          <w:rtl/>
          <w:lang/>
        </w:rPr>
        <w:t>أيض</w:t>
      </w:r>
      <w:r w:rsidRPr="00E2283E">
        <w:rPr>
          <w:rtl/>
          <w:lang/>
        </w:rPr>
        <w:t xml:space="preserve"> </w:t>
      </w:r>
      <w:r w:rsidRPr="00E2283E">
        <w:rPr>
          <w:rFonts w:hint="eastAsia"/>
          <w:rtl/>
          <w:lang/>
        </w:rPr>
        <w:t>البروتينات</w:t>
      </w:r>
      <w:r w:rsidRPr="00E2283E">
        <w:rPr>
          <w:rtl/>
          <w:lang/>
        </w:rPr>
        <w:t xml:space="preserve"> </w:t>
      </w:r>
      <w:r w:rsidRPr="00E2283E">
        <w:rPr>
          <w:rFonts w:hint="eastAsia"/>
          <w:rtl/>
          <w:lang/>
        </w:rPr>
        <w:t>و</w:t>
      </w:r>
      <w:r w:rsidRPr="00E2283E">
        <w:rPr>
          <w:rtl/>
          <w:lang/>
        </w:rPr>
        <w:t xml:space="preserve"> </w:t>
      </w:r>
      <w:r w:rsidRPr="00E2283E">
        <w:rPr>
          <w:rFonts w:hint="eastAsia"/>
          <w:rtl/>
          <w:lang/>
        </w:rPr>
        <w:t>بالتالى</w:t>
      </w:r>
      <w:r w:rsidRPr="00E2283E">
        <w:rPr>
          <w:rtl/>
          <w:lang/>
        </w:rPr>
        <w:t xml:space="preserve"> </w:t>
      </w:r>
      <w:r w:rsidRPr="00E2283E">
        <w:rPr>
          <w:rFonts w:hint="eastAsia"/>
          <w:rtl/>
          <w:lang/>
        </w:rPr>
        <w:t>إمكانية</w:t>
      </w:r>
      <w:r w:rsidRPr="00E2283E">
        <w:rPr>
          <w:rtl/>
          <w:lang/>
        </w:rPr>
        <w:t xml:space="preserve"> </w:t>
      </w:r>
      <w:r w:rsidRPr="00E2283E">
        <w:rPr>
          <w:rFonts w:hint="eastAsia"/>
          <w:rtl/>
          <w:lang/>
        </w:rPr>
        <w:t>إستخدامه</w:t>
      </w:r>
      <w:r w:rsidRPr="00E2283E">
        <w:rPr>
          <w:rtl/>
          <w:lang/>
        </w:rPr>
        <w:t xml:space="preserve"> </w:t>
      </w:r>
      <w:r w:rsidRPr="00E2283E">
        <w:rPr>
          <w:rFonts w:hint="eastAsia"/>
          <w:rtl/>
          <w:lang/>
        </w:rPr>
        <w:t>فى</w:t>
      </w:r>
      <w:r w:rsidRPr="00E2283E">
        <w:rPr>
          <w:rtl/>
          <w:lang/>
        </w:rPr>
        <w:t xml:space="preserve"> </w:t>
      </w:r>
      <w:r w:rsidRPr="00E2283E">
        <w:rPr>
          <w:rFonts w:hint="eastAsia"/>
          <w:rtl/>
          <w:lang/>
        </w:rPr>
        <w:t>تقييم</w:t>
      </w:r>
      <w:r w:rsidRPr="00E2283E">
        <w:rPr>
          <w:rtl/>
          <w:lang/>
        </w:rPr>
        <w:t xml:space="preserve"> </w:t>
      </w:r>
      <w:r w:rsidRPr="00E2283E">
        <w:rPr>
          <w:rFonts w:hint="eastAsia"/>
          <w:rtl/>
          <w:lang/>
        </w:rPr>
        <w:t>الحالة</w:t>
      </w:r>
      <w:r w:rsidRPr="00E2283E">
        <w:rPr>
          <w:rtl/>
          <w:lang/>
        </w:rPr>
        <w:t xml:space="preserve"> </w:t>
      </w:r>
      <w:r w:rsidRPr="00E2283E">
        <w:rPr>
          <w:rFonts w:hint="eastAsia"/>
          <w:rtl/>
          <w:lang/>
        </w:rPr>
        <w:t>الغذائية</w:t>
      </w:r>
      <w:r w:rsidRPr="00E2283E">
        <w:rPr>
          <w:rtl/>
          <w:lang/>
        </w:rPr>
        <w:t xml:space="preserve"> </w:t>
      </w:r>
      <w:r w:rsidRPr="00E2283E">
        <w:rPr>
          <w:rFonts w:hint="eastAsia"/>
          <w:rtl/>
          <w:lang/>
        </w:rPr>
        <w:t>إلا</w:t>
      </w:r>
      <w:r w:rsidRPr="00E2283E">
        <w:rPr>
          <w:rtl/>
          <w:lang/>
        </w:rPr>
        <w:t xml:space="preserve"> </w:t>
      </w:r>
      <w:r w:rsidRPr="00E2283E">
        <w:rPr>
          <w:rFonts w:hint="eastAsia"/>
          <w:rtl/>
          <w:lang/>
        </w:rPr>
        <w:t>أن</w:t>
      </w:r>
      <w:r w:rsidRPr="00E2283E">
        <w:rPr>
          <w:rtl/>
          <w:lang/>
        </w:rPr>
        <w:t xml:space="preserve"> </w:t>
      </w:r>
      <w:r w:rsidRPr="00E2283E">
        <w:rPr>
          <w:rFonts w:hint="eastAsia"/>
          <w:rtl/>
          <w:lang/>
        </w:rPr>
        <w:t>إنخفاض</w:t>
      </w:r>
      <w:r w:rsidRPr="00E2283E">
        <w:rPr>
          <w:rtl/>
          <w:lang/>
        </w:rPr>
        <w:t xml:space="preserve"> </w:t>
      </w:r>
      <w:r w:rsidRPr="00E2283E">
        <w:rPr>
          <w:rFonts w:hint="eastAsia"/>
          <w:rtl/>
          <w:lang/>
        </w:rPr>
        <w:t>تكوينه</w:t>
      </w:r>
      <w:r w:rsidRPr="00E2283E">
        <w:rPr>
          <w:rtl/>
          <w:lang/>
        </w:rPr>
        <w:t xml:space="preserve"> </w:t>
      </w:r>
      <w:r w:rsidRPr="00E2283E">
        <w:rPr>
          <w:rFonts w:hint="eastAsia"/>
          <w:rtl/>
          <w:lang/>
        </w:rPr>
        <w:t>عن</w:t>
      </w:r>
      <w:r w:rsidRPr="00E2283E">
        <w:rPr>
          <w:rtl/>
          <w:lang/>
        </w:rPr>
        <w:t xml:space="preserve"> </w:t>
      </w:r>
      <w:r w:rsidRPr="00E2283E">
        <w:rPr>
          <w:rFonts w:hint="eastAsia"/>
          <w:rtl/>
          <w:lang/>
        </w:rPr>
        <w:t>طريق</w:t>
      </w:r>
      <w:r w:rsidRPr="00E2283E">
        <w:rPr>
          <w:rtl/>
          <w:lang/>
        </w:rPr>
        <w:t xml:space="preserve"> </w:t>
      </w:r>
      <w:r w:rsidRPr="00E2283E">
        <w:rPr>
          <w:rFonts w:hint="eastAsia"/>
          <w:rtl/>
          <w:lang/>
        </w:rPr>
        <w:t>الكبد</w:t>
      </w:r>
      <w:r w:rsidRPr="00E2283E">
        <w:rPr>
          <w:rtl/>
          <w:lang/>
        </w:rPr>
        <w:t xml:space="preserve"> </w:t>
      </w:r>
      <w:r w:rsidRPr="00E2283E">
        <w:rPr>
          <w:rFonts w:hint="eastAsia"/>
          <w:rtl/>
          <w:lang/>
        </w:rPr>
        <w:t>فى</w:t>
      </w:r>
      <w:r w:rsidRPr="00E2283E">
        <w:rPr>
          <w:rtl/>
          <w:lang/>
        </w:rPr>
        <w:t xml:space="preserve"> </w:t>
      </w:r>
      <w:r w:rsidRPr="00E2283E">
        <w:rPr>
          <w:rFonts w:hint="eastAsia"/>
          <w:rtl/>
          <w:lang/>
        </w:rPr>
        <w:t>حالات</w:t>
      </w:r>
      <w:r w:rsidRPr="00E2283E">
        <w:rPr>
          <w:rtl/>
          <w:lang/>
        </w:rPr>
        <w:t xml:space="preserve"> </w:t>
      </w:r>
      <w:r w:rsidRPr="00E2283E">
        <w:rPr>
          <w:rFonts w:hint="eastAsia"/>
          <w:rtl/>
          <w:lang/>
        </w:rPr>
        <w:t>الإصابة</w:t>
      </w:r>
      <w:r w:rsidRPr="00E2283E">
        <w:rPr>
          <w:rtl/>
          <w:lang/>
        </w:rPr>
        <w:t xml:space="preserve"> </w:t>
      </w:r>
      <w:r w:rsidRPr="00E2283E">
        <w:rPr>
          <w:rFonts w:hint="eastAsia"/>
          <w:rtl/>
          <w:lang/>
        </w:rPr>
        <w:t>بأمراض</w:t>
      </w:r>
      <w:r w:rsidRPr="00E2283E">
        <w:rPr>
          <w:rtl/>
          <w:lang/>
        </w:rPr>
        <w:t xml:space="preserve"> </w:t>
      </w:r>
      <w:r w:rsidRPr="00E2283E">
        <w:rPr>
          <w:rFonts w:hint="eastAsia"/>
          <w:rtl/>
          <w:lang/>
        </w:rPr>
        <w:t>الكبد</w:t>
      </w:r>
      <w:r w:rsidRPr="00E2283E">
        <w:rPr>
          <w:rtl/>
          <w:lang/>
        </w:rPr>
        <w:t xml:space="preserve"> </w:t>
      </w:r>
      <w:r w:rsidRPr="00E2283E">
        <w:rPr>
          <w:rFonts w:hint="eastAsia"/>
          <w:rtl/>
          <w:lang/>
        </w:rPr>
        <w:t>المزمنة</w:t>
      </w:r>
      <w:r w:rsidRPr="00E2283E">
        <w:rPr>
          <w:rtl/>
          <w:lang/>
        </w:rPr>
        <w:t xml:space="preserve"> </w:t>
      </w:r>
      <w:r w:rsidRPr="00E2283E">
        <w:rPr>
          <w:rFonts w:hint="eastAsia"/>
          <w:rtl/>
          <w:lang/>
        </w:rPr>
        <w:t>يجعل</w:t>
      </w:r>
      <w:r w:rsidRPr="00E2283E">
        <w:rPr>
          <w:rtl/>
          <w:lang/>
        </w:rPr>
        <w:t xml:space="preserve"> </w:t>
      </w:r>
      <w:r w:rsidRPr="00E2283E">
        <w:rPr>
          <w:rFonts w:hint="eastAsia"/>
          <w:rtl/>
          <w:lang/>
        </w:rPr>
        <w:t>إستخدامه</w:t>
      </w:r>
      <w:r w:rsidRPr="00E2283E">
        <w:rPr>
          <w:rtl/>
          <w:lang/>
        </w:rPr>
        <w:t xml:space="preserve"> </w:t>
      </w:r>
      <w:r w:rsidRPr="00E2283E">
        <w:rPr>
          <w:rFonts w:hint="eastAsia"/>
          <w:rtl/>
          <w:lang/>
        </w:rPr>
        <w:t>فى</w:t>
      </w:r>
      <w:r w:rsidRPr="00E2283E">
        <w:rPr>
          <w:rtl/>
          <w:lang/>
        </w:rPr>
        <w:t xml:space="preserve"> </w:t>
      </w:r>
      <w:r w:rsidRPr="00E2283E">
        <w:rPr>
          <w:rFonts w:hint="eastAsia"/>
          <w:rtl/>
          <w:lang/>
        </w:rPr>
        <w:t>تقييم</w:t>
      </w:r>
      <w:r w:rsidRPr="00E2283E">
        <w:rPr>
          <w:rtl/>
          <w:lang/>
        </w:rPr>
        <w:t xml:space="preserve"> </w:t>
      </w:r>
      <w:r w:rsidRPr="00E2283E">
        <w:rPr>
          <w:rFonts w:hint="eastAsia"/>
          <w:rtl/>
          <w:lang/>
        </w:rPr>
        <w:t>الحالة</w:t>
      </w:r>
      <w:r w:rsidRPr="00E2283E">
        <w:rPr>
          <w:rtl/>
          <w:lang/>
        </w:rPr>
        <w:t xml:space="preserve"> </w:t>
      </w:r>
      <w:r w:rsidRPr="00E2283E">
        <w:rPr>
          <w:rFonts w:hint="eastAsia"/>
          <w:rtl/>
          <w:lang/>
        </w:rPr>
        <w:t>الغذائية</w:t>
      </w:r>
      <w:r w:rsidRPr="00E2283E">
        <w:rPr>
          <w:rtl/>
          <w:lang/>
        </w:rPr>
        <w:t xml:space="preserve"> </w:t>
      </w:r>
      <w:r w:rsidRPr="00E2283E">
        <w:rPr>
          <w:rFonts w:hint="eastAsia"/>
          <w:rtl/>
          <w:lang/>
        </w:rPr>
        <w:t>غير</w:t>
      </w:r>
      <w:r w:rsidRPr="00E2283E">
        <w:rPr>
          <w:rtl/>
          <w:lang/>
        </w:rPr>
        <w:t xml:space="preserve"> </w:t>
      </w:r>
      <w:r w:rsidRPr="00E2283E">
        <w:rPr>
          <w:rFonts w:hint="eastAsia"/>
          <w:rtl/>
          <w:lang/>
        </w:rPr>
        <w:t>دقيق</w:t>
      </w:r>
      <w:r w:rsidRPr="00E2283E">
        <w:rPr>
          <w:rtl/>
          <w:lang/>
        </w:rPr>
        <w:t xml:space="preserve"> </w:t>
      </w:r>
      <w:r w:rsidRPr="00E2283E">
        <w:rPr>
          <w:rFonts w:hint="eastAsia"/>
          <w:rtl/>
          <w:lang/>
        </w:rPr>
        <w:t>حيث</w:t>
      </w:r>
      <w:r w:rsidRPr="00E2283E">
        <w:rPr>
          <w:rtl/>
          <w:lang/>
        </w:rPr>
        <w:t xml:space="preserve">  </w:t>
      </w:r>
      <w:r w:rsidRPr="00E2283E">
        <w:rPr>
          <w:rFonts w:hint="eastAsia"/>
          <w:rtl/>
          <w:lang/>
        </w:rPr>
        <w:t>يؤدي</w:t>
      </w:r>
      <w:r w:rsidRPr="00E2283E">
        <w:rPr>
          <w:rtl/>
          <w:lang/>
        </w:rPr>
        <w:t xml:space="preserve"> </w:t>
      </w:r>
      <w:r w:rsidRPr="00E2283E">
        <w:rPr>
          <w:rFonts w:hint="eastAsia"/>
          <w:rtl/>
          <w:lang/>
        </w:rPr>
        <w:t>إستخدامه</w:t>
      </w:r>
      <w:r w:rsidRPr="00E2283E">
        <w:rPr>
          <w:rtl/>
          <w:lang/>
        </w:rPr>
        <w:t xml:space="preserve"> </w:t>
      </w:r>
      <w:r w:rsidRPr="00E2283E">
        <w:rPr>
          <w:rFonts w:hint="eastAsia"/>
          <w:rtl/>
          <w:lang/>
        </w:rPr>
        <w:t>إلى</w:t>
      </w:r>
      <w:r w:rsidRPr="00E2283E">
        <w:rPr>
          <w:rtl/>
          <w:lang/>
        </w:rPr>
        <w:t xml:space="preserve"> </w:t>
      </w:r>
      <w:r w:rsidRPr="00E2283E">
        <w:rPr>
          <w:rFonts w:hint="eastAsia"/>
          <w:rtl/>
          <w:lang/>
        </w:rPr>
        <w:t>تقييم</w:t>
      </w:r>
      <w:r w:rsidRPr="00E2283E">
        <w:rPr>
          <w:rtl/>
          <w:lang/>
        </w:rPr>
        <w:t xml:space="preserve"> </w:t>
      </w:r>
      <w:r w:rsidRPr="00E2283E">
        <w:rPr>
          <w:rFonts w:hint="eastAsia"/>
          <w:rtl/>
          <w:lang/>
        </w:rPr>
        <w:t>زائد</w:t>
      </w:r>
      <w:r w:rsidRPr="00E2283E">
        <w:rPr>
          <w:rtl/>
          <w:lang/>
        </w:rPr>
        <w:t xml:space="preserve"> </w:t>
      </w:r>
      <w:r w:rsidRPr="00E2283E">
        <w:rPr>
          <w:rFonts w:hint="eastAsia"/>
          <w:rtl/>
          <w:lang/>
        </w:rPr>
        <w:t>لدرجة</w:t>
      </w:r>
      <w:r w:rsidRPr="00E2283E">
        <w:rPr>
          <w:rtl/>
          <w:lang/>
        </w:rPr>
        <w:t xml:space="preserve"> </w:t>
      </w:r>
      <w:r w:rsidRPr="00E2283E">
        <w:rPr>
          <w:rFonts w:hint="eastAsia"/>
          <w:rtl/>
          <w:lang/>
        </w:rPr>
        <w:t>سوء</w:t>
      </w:r>
      <w:r w:rsidRPr="00E2283E">
        <w:rPr>
          <w:rtl/>
          <w:lang/>
        </w:rPr>
        <w:t xml:space="preserve"> </w:t>
      </w:r>
      <w:r w:rsidRPr="00E2283E">
        <w:rPr>
          <w:rFonts w:hint="eastAsia"/>
          <w:rtl/>
          <w:lang/>
        </w:rPr>
        <w:t>التغذية</w:t>
      </w:r>
      <w:r w:rsidRPr="00E2283E">
        <w:rPr>
          <w:rtl/>
          <w:lang/>
        </w:rPr>
        <w:t xml:space="preserve"> </w:t>
      </w:r>
      <w:r w:rsidRPr="00E2283E">
        <w:rPr>
          <w:lang/>
        </w:rPr>
        <w:t>.</w:t>
      </w:r>
      <w:r w:rsidRPr="00E2283E">
        <w:rPr>
          <w:rtl/>
          <w:lang/>
        </w:rPr>
        <w:t xml:space="preserve">  </w:t>
      </w:r>
      <w:r w:rsidRPr="00E2283E">
        <w:rPr>
          <w:rFonts w:hint="eastAsia"/>
          <w:rtl/>
          <w:lang/>
        </w:rPr>
        <w:t>الهدف</w:t>
      </w:r>
      <w:r w:rsidRPr="00E2283E">
        <w:rPr>
          <w:rtl/>
          <w:lang/>
        </w:rPr>
        <w:t xml:space="preserve"> </w:t>
      </w:r>
      <w:r w:rsidRPr="00E2283E">
        <w:rPr>
          <w:rFonts w:hint="eastAsia"/>
          <w:rtl/>
          <w:lang/>
        </w:rPr>
        <w:t>من</w:t>
      </w:r>
      <w:r w:rsidRPr="00E2283E">
        <w:rPr>
          <w:rtl/>
          <w:lang/>
        </w:rPr>
        <w:t xml:space="preserve"> </w:t>
      </w:r>
      <w:r w:rsidRPr="00E2283E">
        <w:rPr>
          <w:rFonts w:hint="eastAsia"/>
          <w:rtl/>
          <w:lang/>
        </w:rPr>
        <w:t>البحث</w:t>
      </w:r>
      <w:r w:rsidRPr="00E2283E">
        <w:rPr>
          <w:rtl/>
          <w:lang/>
        </w:rPr>
        <w:t xml:space="preserve">: </w:t>
      </w:r>
      <w:r w:rsidRPr="00E2283E">
        <w:rPr>
          <w:rFonts w:hint="eastAsia"/>
          <w:rtl/>
          <w:lang/>
        </w:rPr>
        <w:t>قياس</w:t>
      </w:r>
      <w:r w:rsidRPr="00E2283E">
        <w:rPr>
          <w:rtl/>
          <w:lang/>
        </w:rPr>
        <w:t xml:space="preserve"> </w:t>
      </w:r>
      <w:r w:rsidRPr="00E2283E">
        <w:rPr>
          <w:rFonts w:hint="eastAsia"/>
          <w:rtl/>
          <w:lang/>
        </w:rPr>
        <w:t>مستوى</w:t>
      </w:r>
      <w:r w:rsidRPr="00E2283E">
        <w:rPr>
          <w:rtl/>
          <w:lang/>
        </w:rPr>
        <w:t xml:space="preserve"> </w:t>
      </w:r>
      <w:r w:rsidRPr="00E2283E">
        <w:rPr>
          <w:rFonts w:hint="eastAsia"/>
          <w:rtl/>
          <w:lang/>
        </w:rPr>
        <w:t>عامل</w:t>
      </w:r>
      <w:r w:rsidRPr="00E2283E">
        <w:rPr>
          <w:rtl/>
          <w:lang/>
        </w:rPr>
        <w:t xml:space="preserve"> </w:t>
      </w:r>
      <w:r w:rsidRPr="00E2283E">
        <w:rPr>
          <w:rFonts w:hint="eastAsia"/>
          <w:rtl/>
          <w:lang/>
        </w:rPr>
        <w:t>النمو</w:t>
      </w:r>
      <w:r w:rsidRPr="00E2283E">
        <w:rPr>
          <w:rtl/>
          <w:lang/>
        </w:rPr>
        <w:t xml:space="preserve"> </w:t>
      </w:r>
      <w:r w:rsidRPr="00E2283E">
        <w:rPr>
          <w:rFonts w:hint="eastAsia"/>
          <w:rtl/>
          <w:lang/>
        </w:rPr>
        <w:t>شبيه</w:t>
      </w:r>
      <w:r w:rsidRPr="00E2283E">
        <w:rPr>
          <w:rtl/>
          <w:lang/>
        </w:rPr>
        <w:t xml:space="preserve"> </w:t>
      </w:r>
      <w:r w:rsidRPr="00E2283E">
        <w:rPr>
          <w:rFonts w:hint="eastAsia"/>
          <w:rtl/>
          <w:lang/>
        </w:rPr>
        <w:t>الإنسولين</w:t>
      </w:r>
      <w:r w:rsidRPr="00E2283E">
        <w:rPr>
          <w:rtl/>
          <w:lang/>
        </w:rPr>
        <w:t>-1</w:t>
      </w:r>
      <w:r w:rsidRPr="00E2283E">
        <w:rPr>
          <w:lang/>
        </w:rPr>
        <w:t xml:space="preserve"> </w:t>
      </w:r>
      <w:r w:rsidRPr="00E2283E">
        <w:rPr>
          <w:rFonts w:hint="eastAsia"/>
          <w:rtl/>
          <w:lang/>
        </w:rPr>
        <w:t>عند</w:t>
      </w:r>
      <w:r w:rsidRPr="00E2283E">
        <w:rPr>
          <w:rtl/>
          <w:lang/>
        </w:rPr>
        <w:t xml:space="preserve"> </w:t>
      </w:r>
      <w:r w:rsidRPr="00E2283E">
        <w:rPr>
          <w:rFonts w:hint="eastAsia"/>
          <w:rtl/>
          <w:lang/>
        </w:rPr>
        <w:t>الأطفال</w:t>
      </w:r>
      <w:r w:rsidRPr="00E2283E">
        <w:rPr>
          <w:rtl/>
          <w:lang/>
        </w:rPr>
        <w:t xml:space="preserve"> </w:t>
      </w:r>
      <w:r w:rsidRPr="00E2283E">
        <w:rPr>
          <w:rFonts w:hint="eastAsia"/>
          <w:rtl/>
          <w:lang/>
        </w:rPr>
        <w:t>الأطفال</w:t>
      </w:r>
      <w:r w:rsidRPr="00E2283E">
        <w:rPr>
          <w:rtl/>
          <w:lang/>
        </w:rPr>
        <w:t xml:space="preserve"> </w:t>
      </w:r>
      <w:r w:rsidRPr="00E2283E">
        <w:rPr>
          <w:rFonts w:hint="eastAsia"/>
          <w:rtl/>
          <w:lang/>
        </w:rPr>
        <w:t>المصابين</w:t>
      </w:r>
      <w:r w:rsidRPr="00E2283E">
        <w:rPr>
          <w:rtl/>
          <w:lang/>
        </w:rPr>
        <w:t xml:space="preserve"> </w:t>
      </w:r>
      <w:r w:rsidRPr="00E2283E">
        <w:rPr>
          <w:rFonts w:hint="eastAsia"/>
          <w:rtl/>
          <w:lang/>
        </w:rPr>
        <w:t>بأمراض</w:t>
      </w:r>
      <w:r w:rsidRPr="00E2283E">
        <w:rPr>
          <w:rtl/>
          <w:lang/>
        </w:rPr>
        <w:t xml:space="preserve"> </w:t>
      </w:r>
      <w:r w:rsidRPr="00E2283E">
        <w:rPr>
          <w:rFonts w:hint="eastAsia"/>
          <w:rtl/>
          <w:lang/>
        </w:rPr>
        <w:t>الكبد</w:t>
      </w:r>
      <w:r w:rsidRPr="00E2283E">
        <w:rPr>
          <w:rtl/>
          <w:lang/>
        </w:rPr>
        <w:t xml:space="preserve"> </w:t>
      </w:r>
      <w:r w:rsidRPr="00E2283E">
        <w:rPr>
          <w:rFonts w:hint="eastAsia"/>
          <w:rtl/>
          <w:lang/>
        </w:rPr>
        <w:t>المزمنة</w:t>
      </w:r>
      <w:r w:rsidRPr="00E2283E">
        <w:rPr>
          <w:rtl/>
          <w:lang/>
        </w:rPr>
        <w:t xml:space="preserve"> </w:t>
      </w:r>
      <w:r w:rsidRPr="00E2283E">
        <w:rPr>
          <w:rFonts w:hint="eastAsia"/>
          <w:rtl/>
          <w:lang/>
        </w:rPr>
        <w:t>وتحديد</w:t>
      </w:r>
      <w:r w:rsidRPr="00E2283E">
        <w:rPr>
          <w:rtl/>
          <w:lang/>
        </w:rPr>
        <w:t xml:space="preserve"> </w:t>
      </w:r>
      <w:r w:rsidRPr="00E2283E">
        <w:rPr>
          <w:rFonts w:hint="eastAsia"/>
          <w:rtl/>
          <w:lang/>
        </w:rPr>
        <w:t>مدى</w:t>
      </w:r>
      <w:r w:rsidRPr="00E2283E">
        <w:rPr>
          <w:rtl/>
          <w:lang/>
        </w:rPr>
        <w:t xml:space="preserve"> </w:t>
      </w:r>
      <w:r w:rsidRPr="00E2283E">
        <w:rPr>
          <w:rFonts w:hint="eastAsia"/>
          <w:rtl/>
          <w:lang/>
        </w:rPr>
        <w:t>علاقة</w:t>
      </w:r>
      <w:r w:rsidRPr="00E2283E">
        <w:rPr>
          <w:rtl/>
          <w:lang/>
        </w:rPr>
        <w:t xml:space="preserve"> </w:t>
      </w:r>
      <w:r w:rsidRPr="00E2283E">
        <w:rPr>
          <w:rFonts w:hint="eastAsia"/>
          <w:rtl/>
          <w:lang/>
        </w:rPr>
        <w:t>مستواه</w:t>
      </w:r>
      <w:r w:rsidRPr="00E2283E">
        <w:rPr>
          <w:rtl/>
          <w:lang/>
        </w:rPr>
        <w:t xml:space="preserve"> </w:t>
      </w:r>
      <w:r w:rsidRPr="00E2283E">
        <w:rPr>
          <w:rFonts w:hint="eastAsia"/>
          <w:rtl/>
          <w:lang/>
        </w:rPr>
        <w:t>بدرجة</w:t>
      </w:r>
      <w:r w:rsidRPr="00E2283E">
        <w:rPr>
          <w:rtl/>
          <w:lang/>
        </w:rPr>
        <w:t xml:space="preserve"> </w:t>
      </w:r>
      <w:r w:rsidRPr="00E2283E">
        <w:rPr>
          <w:rFonts w:hint="eastAsia"/>
          <w:rtl/>
          <w:lang/>
        </w:rPr>
        <w:t>تدهور</w:t>
      </w:r>
      <w:r w:rsidRPr="00E2283E">
        <w:rPr>
          <w:rtl/>
          <w:lang/>
        </w:rPr>
        <w:t xml:space="preserve"> </w:t>
      </w:r>
      <w:r w:rsidRPr="00E2283E">
        <w:rPr>
          <w:rFonts w:hint="eastAsia"/>
          <w:rtl/>
          <w:lang/>
        </w:rPr>
        <w:t>الحالة</w:t>
      </w:r>
      <w:r w:rsidRPr="00E2283E">
        <w:rPr>
          <w:rtl/>
          <w:lang/>
        </w:rPr>
        <w:t xml:space="preserve"> </w:t>
      </w:r>
      <w:r w:rsidRPr="00E2283E">
        <w:rPr>
          <w:rFonts w:hint="eastAsia"/>
          <w:rtl/>
          <w:lang/>
        </w:rPr>
        <w:t>الوظيفية</w:t>
      </w:r>
      <w:r w:rsidRPr="00E2283E">
        <w:rPr>
          <w:rtl/>
          <w:lang/>
        </w:rPr>
        <w:t xml:space="preserve"> </w:t>
      </w:r>
      <w:r w:rsidRPr="00E2283E">
        <w:rPr>
          <w:rFonts w:hint="eastAsia"/>
          <w:rtl/>
          <w:lang/>
        </w:rPr>
        <w:t>للكبد</w:t>
      </w:r>
      <w:r w:rsidRPr="00E2283E">
        <w:rPr>
          <w:rtl/>
          <w:lang/>
        </w:rPr>
        <w:t xml:space="preserve"> </w:t>
      </w:r>
      <w:r w:rsidRPr="00E2283E">
        <w:rPr>
          <w:rFonts w:hint="eastAsia"/>
          <w:rtl/>
          <w:lang/>
        </w:rPr>
        <w:t>ودرجة</w:t>
      </w:r>
      <w:r w:rsidRPr="00E2283E">
        <w:rPr>
          <w:rtl/>
          <w:lang/>
        </w:rPr>
        <w:t xml:space="preserve"> </w:t>
      </w:r>
      <w:r w:rsidRPr="00E2283E">
        <w:rPr>
          <w:rFonts w:hint="eastAsia"/>
          <w:rtl/>
          <w:lang/>
        </w:rPr>
        <w:t>سوء</w:t>
      </w:r>
      <w:r w:rsidRPr="00E2283E">
        <w:rPr>
          <w:rtl/>
          <w:lang/>
        </w:rPr>
        <w:t xml:space="preserve"> </w:t>
      </w:r>
      <w:r w:rsidRPr="00E2283E">
        <w:rPr>
          <w:rFonts w:hint="eastAsia"/>
          <w:rtl/>
          <w:lang/>
        </w:rPr>
        <w:t>التغذية</w:t>
      </w:r>
      <w:r w:rsidRPr="00E2283E">
        <w:rPr>
          <w:lang/>
        </w:rPr>
        <w:t xml:space="preserve">. </w:t>
      </w:r>
      <w:r w:rsidRPr="00E2283E">
        <w:rPr>
          <w:rtl/>
          <w:lang/>
        </w:rPr>
        <w:t xml:space="preserve"> </w:t>
      </w:r>
      <w:r w:rsidRPr="00E2283E">
        <w:rPr>
          <w:rFonts w:hint="eastAsia"/>
          <w:rtl/>
          <w:lang/>
        </w:rPr>
        <w:t>المنهجية</w:t>
      </w:r>
      <w:r w:rsidRPr="00E2283E">
        <w:rPr>
          <w:rtl/>
          <w:lang/>
        </w:rPr>
        <w:t xml:space="preserve">: </w:t>
      </w:r>
      <w:r w:rsidRPr="00E2283E">
        <w:rPr>
          <w:rFonts w:hint="eastAsia"/>
          <w:rtl/>
          <w:lang/>
        </w:rPr>
        <w:t>تم</w:t>
      </w:r>
      <w:r w:rsidRPr="00E2283E">
        <w:rPr>
          <w:rtl/>
          <w:lang/>
        </w:rPr>
        <w:t xml:space="preserve"> </w:t>
      </w:r>
      <w:r w:rsidRPr="00E2283E">
        <w:rPr>
          <w:rFonts w:hint="eastAsia"/>
          <w:rtl/>
          <w:lang/>
        </w:rPr>
        <w:t>إجراء</w:t>
      </w:r>
      <w:r w:rsidRPr="00E2283E">
        <w:rPr>
          <w:rtl/>
          <w:lang/>
        </w:rPr>
        <w:t xml:space="preserve"> </w:t>
      </w:r>
      <w:r w:rsidRPr="00E2283E">
        <w:rPr>
          <w:rFonts w:hint="eastAsia"/>
          <w:rtl/>
          <w:lang/>
        </w:rPr>
        <w:t>هذه</w:t>
      </w:r>
      <w:r w:rsidRPr="00E2283E">
        <w:rPr>
          <w:rtl/>
          <w:lang/>
        </w:rPr>
        <w:t xml:space="preserve"> </w:t>
      </w:r>
      <w:r w:rsidRPr="00E2283E">
        <w:rPr>
          <w:rFonts w:hint="eastAsia"/>
          <w:rtl/>
          <w:lang/>
        </w:rPr>
        <w:t>الدراسة</w:t>
      </w:r>
      <w:r w:rsidRPr="00E2283E">
        <w:rPr>
          <w:rtl/>
          <w:lang/>
        </w:rPr>
        <w:t xml:space="preserve"> </w:t>
      </w:r>
      <w:r w:rsidRPr="00E2283E">
        <w:rPr>
          <w:rFonts w:hint="eastAsia"/>
          <w:rtl/>
          <w:lang/>
        </w:rPr>
        <w:t>علي</w:t>
      </w:r>
      <w:r w:rsidRPr="00E2283E">
        <w:rPr>
          <w:rtl/>
          <w:lang/>
        </w:rPr>
        <w:t xml:space="preserve">50  </w:t>
      </w:r>
      <w:r w:rsidRPr="00E2283E">
        <w:rPr>
          <w:rFonts w:hint="eastAsia"/>
          <w:rtl/>
          <w:lang/>
        </w:rPr>
        <w:t>طفل</w:t>
      </w:r>
      <w:r w:rsidRPr="00E2283E">
        <w:rPr>
          <w:rtl/>
          <w:lang/>
        </w:rPr>
        <w:t xml:space="preserve">(25 </w:t>
      </w:r>
      <w:r w:rsidRPr="00E2283E">
        <w:rPr>
          <w:rFonts w:hint="eastAsia"/>
          <w:rtl/>
          <w:lang/>
        </w:rPr>
        <w:t>ذكر</w:t>
      </w:r>
      <w:r w:rsidRPr="00E2283E">
        <w:rPr>
          <w:rtl/>
          <w:lang/>
        </w:rPr>
        <w:t xml:space="preserve">-25 </w:t>
      </w:r>
      <w:r w:rsidRPr="00E2283E">
        <w:rPr>
          <w:rFonts w:hint="eastAsia"/>
          <w:rtl/>
          <w:lang/>
        </w:rPr>
        <w:t>أنثى</w:t>
      </w:r>
      <w:r w:rsidRPr="00E2283E">
        <w:rPr>
          <w:rtl/>
          <w:lang/>
        </w:rPr>
        <w:t xml:space="preserve">) </w:t>
      </w:r>
      <w:r w:rsidRPr="00E2283E">
        <w:rPr>
          <w:rFonts w:hint="eastAsia"/>
          <w:rtl/>
          <w:lang/>
        </w:rPr>
        <w:t>مصابين</w:t>
      </w:r>
      <w:r w:rsidRPr="00E2283E">
        <w:rPr>
          <w:rtl/>
          <w:lang/>
        </w:rPr>
        <w:t xml:space="preserve"> </w:t>
      </w:r>
      <w:r w:rsidRPr="00E2283E">
        <w:rPr>
          <w:rFonts w:hint="eastAsia"/>
          <w:rtl/>
          <w:lang/>
        </w:rPr>
        <w:t>بأمراض</w:t>
      </w:r>
      <w:r w:rsidRPr="00E2283E">
        <w:rPr>
          <w:rtl/>
          <w:lang/>
        </w:rPr>
        <w:t xml:space="preserve"> </w:t>
      </w:r>
      <w:r w:rsidRPr="00E2283E">
        <w:rPr>
          <w:rFonts w:hint="eastAsia"/>
          <w:rtl/>
          <w:lang/>
        </w:rPr>
        <w:t>الكبد</w:t>
      </w:r>
      <w:r w:rsidRPr="00E2283E">
        <w:rPr>
          <w:rtl/>
          <w:lang/>
        </w:rPr>
        <w:t xml:space="preserve"> </w:t>
      </w:r>
      <w:r w:rsidRPr="00E2283E">
        <w:rPr>
          <w:rFonts w:hint="eastAsia"/>
          <w:rtl/>
          <w:lang/>
        </w:rPr>
        <w:t>المزمنة</w:t>
      </w:r>
      <w:r w:rsidRPr="00E2283E">
        <w:rPr>
          <w:rtl/>
          <w:lang/>
        </w:rPr>
        <w:t xml:space="preserve"> </w:t>
      </w:r>
      <w:r w:rsidRPr="00E2283E">
        <w:rPr>
          <w:rFonts w:hint="eastAsia"/>
          <w:rtl/>
          <w:lang/>
        </w:rPr>
        <w:t>بأسبابها</w:t>
      </w:r>
      <w:r w:rsidRPr="00E2283E">
        <w:rPr>
          <w:rtl/>
          <w:lang/>
        </w:rPr>
        <w:t xml:space="preserve"> </w:t>
      </w:r>
      <w:r w:rsidRPr="00E2283E">
        <w:rPr>
          <w:rFonts w:hint="eastAsia"/>
          <w:rtl/>
          <w:lang/>
        </w:rPr>
        <w:t>المختلفة</w:t>
      </w:r>
      <w:r w:rsidRPr="00E2283E">
        <w:rPr>
          <w:rtl/>
          <w:lang/>
        </w:rPr>
        <w:t xml:space="preserve"> </w:t>
      </w:r>
      <w:r w:rsidRPr="00E2283E">
        <w:rPr>
          <w:rFonts w:hint="eastAsia"/>
          <w:rtl/>
          <w:lang/>
        </w:rPr>
        <w:t>والذين</w:t>
      </w:r>
      <w:r w:rsidRPr="00E2283E">
        <w:rPr>
          <w:rtl/>
          <w:lang/>
        </w:rPr>
        <w:t xml:space="preserve"> </w:t>
      </w:r>
      <w:r w:rsidRPr="00E2283E">
        <w:rPr>
          <w:rFonts w:hint="eastAsia"/>
          <w:rtl/>
          <w:lang/>
        </w:rPr>
        <w:t>يترددون</w:t>
      </w:r>
      <w:r w:rsidRPr="00E2283E">
        <w:rPr>
          <w:rtl/>
          <w:lang/>
        </w:rPr>
        <w:t xml:space="preserve"> </w:t>
      </w:r>
      <w:r w:rsidRPr="00E2283E">
        <w:rPr>
          <w:rFonts w:hint="eastAsia"/>
          <w:rtl/>
          <w:lang/>
        </w:rPr>
        <w:t>علي</w:t>
      </w:r>
      <w:r w:rsidRPr="00E2283E">
        <w:rPr>
          <w:rtl/>
          <w:lang/>
        </w:rPr>
        <w:t xml:space="preserve"> </w:t>
      </w:r>
      <w:r w:rsidRPr="00E2283E">
        <w:rPr>
          <w:rFonts w:hint="eastAsia"/>
          <w:rtl/>
          <w:lang/>
        </w:rPr>
        <w:t>عيادة</w:t>
      </w:r>
      <w:r w:rsidRPr="00E2283E">
        <w:rPr>
          <w:rtl/>
          <w:lang/>
        </w:rPr>
        <w:t xml:space="preserve"> </w:t>
      </w:r>
      <w:r w:rsidRPr="00E2283E">
        <w:rPr>
          <w:rFonts w:hint="eastAsia"/>
          <w:rtl/>
          <w:lang/>
        </w:rPr>
        <w:t>الكبد</w:t>
      </w:r>
      <w:r w:rsidRPr="00E2283E">
        <w:rPr>
          <w:rtl/>
          <w:lang/>
        </w:rPr>
        <w:t xml:space="preserve"> </w:t>
      </w:r>
      <w:r w:rsidRPr="00E2283E">
        <w:rPr>
          <w:rFonts w:hint="eastAsia"/>
          <w:rtl/>
          <w:lang/>
        </w:rPr>
        <w:t>والمحتجزين</w:t>
      </w:r>
      <w:r w:rsidRPr="00E2283E">
        <w:rPr>
          <w:rtl/>
          <w:lang/>
        </w:rPr>
        <w:t xml:space="preserve"> </w:t>
      </w:r>
      <w:r w:rsidRPr="00E2283E">
        <w:rPr>
          <w:rFonts w:hint="eastAsia"/>
          <w:rtl/>
          <w:lang/>
        </w:rPr>
        <w:t>بقسم</w:t>
      </w:r>
      <w:r w:rsidRPr="00E2283E">
        <w:rPr>
          <w:rtl/>
          <w:lang/>
        </w:rPr>
        <w:t xml:space="preserve"> </w:t>
      </w:r>
      <w:r w:rsidRPr="00E2283E">
        <w:rPr>
          <w:rFonts w:hint="eastAsia"/>
          <w:rtl/>
          <w:lang/>
        </w:rPr>
        <w:t>الكبد</w:t>
      </w:r>
      <w:r w:rsidRPr="00E2283E">
        <w:rPr>
          <w:rtl/>
          <w:lang/>
        </w:rPr>
        <w:t xml:space="preserve"> </w:t>
      </w:r>
      <w:r w:rsidRPr="00E2283E">
        <w:rPr>
          <w:rFonts w:hint="eastAsia"/>
          <w:rtl/>
          <w:lang/>
        </w:rPr>
        <w:t>بمستشفي</w:t>
      </w:r>
      <w:r w:rsidRPr="00E2283E">
        <w:rPr>
          <w:rtl/>
          <w:lang/>
        </w:rPr>
        <w:t xml:space="preserve"> </w:t>
      </w:r>
      <w:r w:rsidRPr="00E2283E">
        <w:rPr>
          <w:rFonts w:hint="eastAsia"/>
          <w:rtl/>
          <w:lang/>
        </w:rPr>
        <w:t>الأطفال</w:t>
      </w:r>
      <w:r w:rsidRPr="00E2283E">
        <w:rPr>
          <w:rtl/>
          <w:lang/>
        </w:rPr>
        <w:t xml:space="preserve"> </w:t>
      </w:r>
      <w:r w:rsidRPr="00E2283E">
        <w:rPr>
          <w:rFonts w:hint="eastAsia"/>
          <w:rtl/>
          <w:lang/>
        </w:rPr>
        <w:t>جامعة</w:t>
      </w:r>
      <w:r w:rsidRPr="00E2283E">
        <w:rPr>
          <w:rtl/>
          <w:lang/>
        </w:rPr>
        <w:t xml:space="preserve"> </w:t>
      </w:r>
      <w:r w:rsidRPr="00E2283E">
        <w:rPr>
          <w:rFonts w:hint="eastAsia"/>
          <w:rtl/>
          <w:lang/>
        </w:rPr>
        <w:t>القاهرة</w:t>
      </w:r>
      <w:r w:rsidRPr="00E2283E">
        <w:rPr>
          <w:rtl/>
          <w:lang/>
        </w:rPr>
        <w:t xml:space="preserve"> </w:t>
      </w:r>
      <w:r w:rsidRPr="00E2283E">
        <w:rPr>
          <w:rFonts w:hint="eastAsia"/>
          <w:rtl/>
          <w:lang/>
        </w:rPr>
        <w:t>وقد</w:t>
      </w:r>
      <w:r w:rsidRPr="00E2283E">
        <w:rPr>
          <w:rtl/>
          <w:lang/>
        </w:rPr>
        <w:t xml:space="preserve"> </w:t>
      </w:r>
      <w:r w:rsidRPr="00E2283E">
        <w:rPr>
          <w:rFonts w:hint="eastAsia"/>
          <w:rtl/>
          <w:lang/>
        </w:rPr>
        <w:t>تراوحت</w:t>
      </w:r>
      <w:r w:rsidRPr="00E2283E">
        <w:rPr>
          <w:rtl/>
          <w:lang/>
        </w:rPr>
        <w:t xml:space="preserve"> </w:t>
      </w:r>
      <w:r w:rsidRPr="00E2283E">
        <w:rPr>
          <w:rFonts w:hint="eastAsia"/>
          <w:rtl/>
          <w:lang/>
        </w:rPr>
        <w:t>أعمارهم</w:t>
      </w:r>
      <w:r w:rsidRPr="00E2283E">
        <w:rPr>
          <w:rtl/>
          <w:lang/>
        </w:rPr>
        <w:t xml:space="preserve"> </w:t>
      </w:r>
      <w:r w:rsidRPr="00E2283E">
        <w:rPr>
          <w:rFonts w:hint="eastAsia"/>
          <w:rtl/>
          <w:lang/>
        </w:rPr>
        <w:t>من</w:t>
      </w:r>
      <w:r w:rsidRPr="00E2283E">
        <w:rPr>
          <w:rtl/>
          <w:lang/>
        </w:rPr>
        <w:t xml:space="preserve"> 6 </w:t>
      </w:r>
      <w:r w:rsidRPr="00E2283E">
        <w:rPr>
          <w:rFonts w:hint="eastAsia"/>
          <w:rtl/>
          <w:lang/>
        </w:rPr>
        <w:t>شهور</w:t>
      </w:r>
      <w:r w:rsidRPr="00E2283E">
        <w:rPr>
          <w:rtl/>
          <w:lang/>
        </w:rPr>
        <w:t xml:space="preserve"> -75</w:t>
      </w:r>
      <w:r w:rsidRPr="00E2283E">
        <w:rPr>
          <w:lang/>
        </w:rPr>
        <w:t>,</w:t>
      </w:r>
      <w:r w:rsidRPr="00E2283E">
        <w:rPr>
          <w:rtl/>
          <w:lang/>
        </w:rPr>
        <w:t xml:space="preserve"> 5 </w:t>
      </w:r>
      <w:r w:rsidRPr="00E2283E">
        <w:rPr>
          <w:rFonts w:hint="eastAsia"/>
          <w:rtl/>
          <w:lang/>
        </w:rPr>
        <w:t>سنة</w:t>
      </w:r>
      <w:r w:rsidRPr="00E2283E">
        <w:rPr>
          <w:rtl/>
          <w:lang/>
        </w:rPr>
        <w:t xml:space="preserve"> (</w:t>
      </w:r>
      <w:r w:rsidRPr="00E2283E">
        <w:rPr>
          <w:rFonts w:hint="eastAsia"/>
          <w:rtl/>
          <w:lang/>
        </w:rPr>
        <w:t>متوسط</w:t>
      </w:r>
      <w:r w:rsidRPr="00E2283E">
        <w:rPr>
          <w:rtl/>
          <w:lang/>
        </w:rPr>
        <w:t xml:space="preserve"> </w:t>
      </w:r>
      <w:r w:rsidRPr="00E2283E">
        <w:rPr>
          <w:rFonts w:hint="eastAsia"/>
          <w:rtl/>
          <w:lang/>
        </w:rPr>
        <w:t>العمر</w:t>
      </w:r>
      <w:r w:rsidRPr="00E2283E">
        <w:rPr>
          <w:rtl/>
          <w:lang/>
        </w:rPr>
        <w:t xml:space="preserve"> 01 </w:t>
      </w:r>
      <w:r w:rsidRPr="00E2283E">
        <w:rPr>
          <w:lang/>
        </w:rPr>
        <w:t>,</w:t>
      </w:r>
      <w:r w:rsidRPr="00E2283E">
        <w:rPr>
          <w:rtl/>
          <w:lang/>
        </w:rPr>
        <w:t xml:space="preserve">2 </w:t>
      </w:r>
      <w:r w:rsidRPr="00E2283E">
        <w:rPr>
          <w:rFonts w:hint="eastAsia"/>
          <w:rtl/>
          <w:lang/>
        </w:rPr>
        <w:t>سنة</w:t>
      </w:r>
      <w:r w:rsidRPr="00E2283E">
        <w:rPr>
          <w:rtl/>
          <w:lang/>
        </w:rPr>
        <w:t xml:space="preserve">) </w:t>
      </w:r>
      <w:r w:rsidRPr="00E2283E">
        <w:rPr>
          <w:rFonts w:hint="eastAsia"/>
          <w:rtl/>
          <w:lang/>
        </w:rPr>
        <w:t>و</w:t>
      </w:r>
      <w:r w:rsidRPr="00E2283E">
        <w:rPr>
          <w:rtl/>
          <w:lang/>
        </w:rPr>
        <w:t xml:space="preserve"> </w:t>
      </w:r>
      <w:r w:rsidRPr="00E2283E">
        <w:rPr>
          <w:rFonts w:hint="eastAsia"/>
          <w:rtl/>
          <w:lang/>
        </w:rPr>
        <w:t>تمت</w:t>
      </w:r>
      <w:r w:rsidRPr="00E2283E">
        <w:rPr>
          <w:rtl/>
          <w:lang/>
        </w:rPr>
        <w:t xml:space="preserve"> </w:t>
      </w:r>
      <w:r w:rsidRPr="00E2283E">
        <w:rPr>
          <w:rFonts w:hint="eastAsia"/>
          <w:rtl/>
          <w:lang/>
        </w:rPr>
        <w:t>مقارانتهم</w:t>
      </w:r>
      <w:r w:rsidRPr="00E2283E">
        <w:rPr>
          <w:rtl/>
          <w:lang/>
        </w:rPr>
        <w:t xml:space="preserve"> </w:t>
      </w:r>
      <w:r w:rsidRPr="00E2283E">
        <w:rPr>
          <w:rFonts w:hint="eastAsia"/>
          <w:rtl/>
          <w:lang/>
        </w:rPr>
        <w:t>بأطفال</w:t>
      </w:r>
      <w:r w:rsidRPr="00E2283E">
        <w:rPr>
          <w:rtl/>
          <w:lang/>
        </w:rPr>
        <w:t xml:space="preserve"> </w:t>
      </w:r>
      <w:r w:rsidRPr="00E2283E">
        <w:rPr>
          <w:rFonts w:hint="eastAsia"/>
          <w:rtl/>
          <w:lang/>
        </w:rPr>
        <w:t>أصحاء</w:t>
      </w:r>
      <w:r w:rsidRPr="00E2283E">
        <w:rPr>
          <w:rtl/>
          <w:lang/>
        </w:rPr>
        <w:t xml:space="preserve"> </w:t>
      </w:r>
      <w:r w:rsidRPr="00E2283E">
        <w:rPr>
          <w:rFonts w:hint="eastAsia"/>
          <w:rtl/>
          <w:lang/>
        </w:rPr>
        <w:t>من</w:t>
      </w:r>
      <w:r w:rsidRPr="00E2283E">
        <w:rPr>
          <w:rtl/>
          <w:lang/>
        </w:rPr>
        <w:t xml:space="preserve"> </w:t>
      </w:r>
      <w:r w:rsidRPr="00E2283E">
        <w:rPr>
          <w:rFonts w:hint="eastAsia"/>
          <w:rtl/>
          <w:lang/>
        </w:rPr>
        <w:t>نفس</w:t>
      </w:r>
      <w:r w:rsidRPr="00E2283E">
        <w:rPr>
          <w:rtl/>
          <w:lang/>
        </w:rPr>
        <w:t xml:space="preserve"> </w:t>
      </w:r>
      <w:r w:rsidRPr="00E2283E">
        <w:rPr>
          <w:rFonts w:hint="eastAsia"/>
          <w:rtl/>
          <w:lang/>
        </w:rPr>
        <w:t>الفئة</w:t>
      </w:r>
      <w:r w:rsidRPr="00E2283E">
        <w:rPr>
          <w:rtl/>
          <w:lang/>
        </w:rPr>
        <w:t xml:space="preserve"> </w:t>
      </w:r>
      <w:r w:rsidRPr="00E2283E">
        <w:rPr>
          <w:rFonts w:hint="eastAsia"/>
          <w:rtl/>
          <w:lang/>
        </w:rPr>
        <w:t>العمرية</w:t>
      </w:r>
      <w:r w:rsidRPr="00E2283E">
        <w:rPr>
          <w:rtl/>
          <w:lang/>
        </w:rPr>
        <w:t xml:space="preserve"> </w:t>
      </w:r>
      <w:r w:rsidRPr="00E2283E">
        <w:rPr>
          <w:rFonts w:hint="eastAsia"/>
          <w:rtl/>
          <w:lang/>
        </w:rPr>
        <w:t>للمرضى</w:t>
      </w:r>
      <w:r w:rsidRPr="00E2283E">
        <w:rPr>
          <w:rtl/>
          <w:lang/>
        </w:rPr>
        <w:t xml:space="preserve"> </w:t>
      </w:r>
      <w:r w:rsidRPr="00E2283E">
        <w:rPr>
          <w:rFonts w:hint="eastAsia"/>
          <w:rtl/>
          <w:lang/>
        </w:rPr>
        <w:t>ومن</w:t>
      </w:r>
      <w:r w:rsidRPr="00E2283E">
        <w:rPr>
          <w:rtl/>
          <w:lang/>
        </w:rPr>
        <w:t xml:space="preserve"> </w:t>
      </w:r>
      <w:r w:rsidRPr="00E2283E">
        <w:rPr>
          <w:rFonts w:hint="eastAsia"/>
          <w:rtl/>
          <w:lang/>
        </w:rPr>
        <w:t>كلا</w:t>
      </w:r>
      <w:r w:rsidRPr="00E2283E">
        <w:rPr>
          <w:rtl/>
          <w:lang/>
        </w:rPr>
        <w:t xml:space="preserve"> </w:t>
      </w:r>
      <w:r w:rsidRPr="00E2283E">
        <w:rPr>
          <w:rFonts w:hint="eastAsia"/>
          <w:rtl/>
          <w:lang/>
        </w:rPr>
        <w:t>الجنسين</w:t>
      </w:r>
      <w:r w:rsidRPr="00E2283E">
        <w:rPr>
          <w:rtl/>
          <w:lang/>
        </w:rPr>
        <w:t xml:space="preserve"> (</w:t>
      </w:r>
      <w:r w:rsidRPr="00E2283E">
        <w:rPr>
          <w:rFonts w:hint="eastAsia"/>
          <w:rtl/>
          <w:lang/>
        </w:rPr>
        <w:t>المجموعة</w:t>
      </w:r>
      <w:r w:rsidRPr="00E2283E">
        <w:rPr>
          <w:rtl/>
          <w:lang/>
        </w:rPr>
        <w:t xml:space="preserve"> </w:t>
      </w:r>
      <w:r w:rsidRPr="00E2283E">
        <w:rPr>
          <w:rFonts w:hint="eastAsia"/>
          <w:rtl/>
          <w:lang/>
        </w:rPr>
        <w:t>الضابطة</w:t>
      </w:r>
      <w:r w:rsidRPr="00E2283E">
        <w:rPr>
          <w:rtl/>
          <w:lang/>
        </w:rPr>
        <w:t>)</w:t>
      </w:r>
      <w:r w:rsidRPr="00E2283E">
        <w:rPr>
          <w:lang/>
        </w:rPr>
        <w:t>.</w:t>
      </w:r>
      <w:r w:rsidRPr="00E2283E">
        <w:rPr>
          <w:rtl/>
          <w:lang/>
        </w:rPr>
        <w:t xml:space="preserve"> </w:t>
      </w:r>
      <w:r w:rsidRPr="00E2283E">
        <w:rPr>
          <w:rFonts w:hint="eastAsia"/>
          <w:rtl/>
          <w:lang/>
        </w:rPr>
        <w:t>و</w:t>
      </w:r>
      <w:r w:rsidRPr="00E2283E">
        <w:rPr>
          <w:rtl/>
          <w:lang/>
        </w:rPr>
        <w:t xml:space="preserve"> </w:t>
      </w:r>
      <w:r w:rsidRPr="00E2283E">
        <w:rPr>
          <w:rFonts w:hint="eastAsia"/>
          <w:rtl/>
          <w:lang/>
        </w:rPr>
        <w:t>تم</w:t>
      </w:r>
      <w:r w:rsidRPr="00E2283E">
        <w:rPr>
          <w:rtl/>
          <w:lang/>
        </w:rPr>
        <w:t xml:space="preserve"> </w:t>
      </w:r>
      <w:r w:rsidRPr="00E2283E">
        <w:rPr>
          <w:rFonts w:hint="eastAsia"/>
          <w:rtl/>
          <w:lang/>
        </w:rPr>
        <w:t>عمل</w:t>
      </w:r>
      <w:r w:rsidRPr="00E2283E">
        <w:rPr>
          <w:rtl/>
          <w:lang/>
        </w:rPr>
        <w:t xml:space="preserve"> </w:t>
      </w:r>
      <w:r w:rsidRPr="00E2283E">
        <w:rPr>
          <w:rFonts w:hint="eastAsia"/>
          <w:rtl/>
          <w:lang/>
        </w:rPr>
        <w:t>قياسات</w:t>
      </w:r>
      <w:r w:rsidRPr="00E2283E">
        <w:rPr>
          <w:rtl/>
          <w:lang/>
        </w:rPr>
        <w:t xml:space="preserve"> </w:t>
      </w:r>
      <w:r w:rsidRPr="00E2283E">
        <w:rPr>
          <w:rFonts w:hint="eastAsia"/>
          <w:rtl/>
          <w:lang/>
        </w:rPr>
        <w:t>أنثروبومترية</w:t>
      </w:r>
      <w:r w:rsidRPr="00E2283E">
        <w:rPr>
          <w:rtl/>
          <w:lang/>
        </w:rPr>
        <w:t xml:space="preserve">, </w:t>
      </w:r>
      <w:r w:rsidRPr="00E2283E">
        <w:rPr>
          <w:rFonts w:hint="eastAsia"/>
          <w:rtl/>
          <w:lang/>
        </w:rPr>
        <w:t>وظائف</w:t>
      </w:r>
      <w:r w:rsidRPr="00E2283E">
        <w:rPr>
          <w:rtl/>
          <w:lang/>
        </w:rPr>
        <w:t xml:space="preserve"> </w:t>
      </w:r>
      <w:r w:rsidRPr="00E2283E">
        <w:rPr>
          <w:rFonts w:hint="eastAsia"/>
          <w:rtl/>
          <w:lang/>
        </w:rPr>
        <w:t>كبد</w:t>
      </w:r>
      <w:r w:rsidRPr="00E2283E">
        <w:rPr>
          <w:rtl/>
          <w:lang/>
        </w:rPr>
        <w:t xml:space="preserve"> </w:t>
      </w:r>
      <w:r w:rsidRPr="00E2283E">
        <w:rPr>
          <w:rFonts w:hint="eastAsia"/>
          <w:rtl/>
          <w:lang/>
        </w:rPr>
        <w:t>و</w:t>
      </w:r>
      <w:r w:rsidRPr="00E2283E">
        <w:rPr>
          <w:rtl/>
          <w:lang/>
        </w:rPr>
        <w:t xml:space="preserve"> </w:t>
      </w:r>
      <w:r w:rsidRPr="00E2283E">
        <w:rPr>
          <w:rFonts w:hint="eastAsia"/>
          <w:rtl/>
          <w:lang/>
        </w:rPr>
        <w:t>قياس</w:t>
      </w:r>
      <w:r w:rsidRPr="00E2283E">
        <w:rPr>
          <w:rtl/>
          <w:lang/>
        </w:rPr>
        <w:t xml:space="preserve"> </w:t>
      </w:r>
      <w:r w:rsidRPr="00E2283E">
        <w:rPr>
          <w:rFonts w:hint="eastAsia"/>
          <w:rtl/>
          <w:lang/>
        </w:rPr>
        <w:t>مستوى</w:t>
      </w:r>
      <w:r w:rsidRPr="00E2283E">
        <w:rPr>
          <w:rtl/>
          <w:lang/>
        </w:rPr>
        <w:t xml:space="preserve"> </w:t>
      </w:r>
      <w:r w:rsidRPr="00E2283E">
        <w:rPr>
          <w:rFonts w:hint="eastAsia"/>
          <w:rtl/>
          <w:lang/>
        </w:rPr>
        <w:t>عامل</w:t>
      </w:r>
      <w:r w:rsidRPr="00E2283E">
        <w:rPr>
          <w:rtl/>
          <w:lang/>
        </w:rPr>
        <w:t xml:space="preserve"> </w:t>
      </w:r>
      <w:r w:rsidRPr="00E2283E">
        <w:rPr>
          <w:rFonts w:hint="eastAsia"/>
          <w:rtl/>
          <w:lang/>
        </w:rPr>
        <w:t>النمو</w:t>
      </w:r>
      <w:r w:rsidRPr="00E2283E">
        <w:rPr>
          <w:rtl/>
          <w:lang/>
        </w:rPr>
        <w:t xml:space="preserve"> </w:t>
      </w:r>
      <w:r w:rsidRPr="00E2283E">
        <w:rPr>
          <w:rFonts w:hint="eastAsia"/>
          <w:rtl/>
          <w:lang/>
        </w:rPr>
        <w:t>شبيه</w:t>
      </w:r>
      <w:r w:rsidRPr="00E2283E">
        <w:rPr>
          <w:rtl/>
          <w:lang/>
        </w:rPr>
        <w:t xml:space="preserve"> </w:t>
      </w:r>
      <w:r w:rsidRPr="00E2283E">
        <w:rPr>
          <w:rFonts w:hint="eastAsia"/>
          <w:rtl/>
          <w:lang/>
        </w:rPr>
        <w:t>الإنسولين</w:t>
      </w:r>
      <w:r w:rsidRPr="00E2283E">
        <w:rPr>
          <w:rtl/>
          <w:lang/>
        </w:rPr>
        <w:t xml:space="preserve">-1. </w:t>
      </w:r>
      <w:r w:rsidRPr="00E2283E">
        <w:rPr>
          <w:rFonts w:hint="eastAsia"/>
          <w:rtl/>
          <w:lang/>
        </w:rPr>
        <w:t>كما</w:t>
      </w:r>
      <w:r w:rsidRPr="00E2283E">
        <w:rPr>
          <w:rtl/>
          <w:lang/>
        </w:rPr>
        <w:t xml:space="preserve"> </w:t>
      </w:r>
      <w:r w:rsidRPr="00E2283E">
        <w:rPr>
          <w:rFonts w:hint="eastAsia"/>
          <w:rtl/>
          <w:lang/>
        </w:rPr>
        <w:t>تم</w:t>
      </w:r>
      <w:r w:rsidRPr="00E2283E">
        <w:rPr>
          <w:rtl/>
          <w:lang/>
        </w:rPr>
        <w:t xml:space="preserve"> </w:t>
      </w:r>
      <w:r w:rsidRPr="00E2283E">
        <w:rPr>
          <w:rFonts w:hint="eastAsia"/>
          <w:rtl/>
          <w:lang/>
        </w:rPr>
        <w:t>قياس</w:t>
      </w:r>
      <w:r w:rsidRPr="00E2283E">
        <w:rPr>
          <w:rtl/>
          <w:lang/>
        </w:rPr>
        <w:t xml:space="preserve"> </w:t>
      </w:r>
      <w:r w:rsidRPr="00E2283E">
        <w:rPr>
          <w:rFonts w:hint="eastAsia"/>
          <w:rtl/>
          <w:lang/>
        </w:rPr>
        <w:t>درجة</w:t>
      </w:r>
      <w:r w:rsidRPr="00E2283E">
        <w:rPr>
          <w:rtl/>
          <w:lang/>
        </w:rPr>
        <w:t xml:space="preserve"> </w:t>
      </w:r>
      <w:r w:rsidRPr="00E2283E">
        <w:rPr>
          <w:rFonts w:hint="eastAsia"/>
          <w:rtl/>
          <w:lang/>
        </w:rPr>
        <w:t>الخلل</w:t>
      </w:r>
      <w:r w:rsidRPr="00E2283E">
        <w:rPr>
          <w:rtl/>
          <w:lang/>
        </w:rPr>
        <w:t xml:space="preserve"> </w:t>
      </w:r>
      <w:r w:rsidRPr="00E2283E">
        <w:rPr>
          <w:rFonts w:hint="eastAsia"/>
          <w:rtl/>
          <w:lang/>
        </w:rPr>
        <w:t>الوظيفي</w:t>
      </w:r>
      <w:r w:rsidRPr="00E2283E">
        <w:rPr>
          <w:rtl/>
          <w:lang/>
        </w:rPr>
        <w:t xml:space="preserve"> </w:t>
      </w:r>
      <w:r w:rsidRPr="00E2283E">
        <w:rPr>
          <w:rFonts w:hint="eastAsia"/>
          <w:rtl/>
          <w:lang/>
        </w:rPr>
        <w:t>للكبد</w:t>
      </w:r>
      <w:r w:rsidRPr="00E2283E">
        <w:rPr>
          <w:rtl/>
          <w:lang/>
        </w:rPr>
        <w:t xml:space="preserve"> </w:t>
      </w:r>
      <w:r w:rsidRPr="00E2283E">
        <w:rPr>
          <w:rFonts w:hint="eastAsia"/>
          <w:rtl/>
          <w:lang/>
        </w:rPr>
        <w:t>باستخدام</w:t>
      </w:r>
      <w:r w:rsidRPr="00E2283E">
        <w:rPr>
          <w:rtl/>
          <w:lang/>
        </w:rPr>
        <w:t xml:space="preserve"> </w:t>
      </w:r>
      <w:r w:rsidRPr="00E2283E">
        <w:rPr>
          <w:rFonts w:hint="eastAsia"/>
          <w:rtl/>
          <w:lang/>
        </w:rPr>
        <w:t>مقياس</w:t>
      </w:r>
      <w:r w:rsidRPr="00E2283E">
        <w:rPr>
          <w:rtl/>
          <w:lang/>
        </w:rPr>
        <w:t xml:space="preserve"> </w:t>
      </w:r>
      <w:r w:rsidRPr="00E2283E">
        <w:rPr>
          <w:rFonts w:hint="eastAsia"/>
          <w:rtl/>
          <w:lang/>
        </w:rPr>
        <w:t>تشايلد</w:t>
      </w:r>
      <w:r w:rsidRPr="00E2283E">
        <w:rPr>
          <w:rtl/>
          <w:lang/>
        </w:rPr>
        <w:t xml:space="preserve"> </w:t>
      </w:r>
      <w:r w:rsidRPr="00E2283E">
        <w:rPr>
          <w:rFonts w:hint="eastAsia"/>
          <w:rtl/>
          <w:lang/>
        </w:rPr>
        <w:t>باج</w:t>
      </w:r>
      <w:r w:rsidRPr="00E2283E">
        <w:rPr>
          <w:rtl/>
          <w:lang/>
        </w:rPr>
        <w:t xml:space="preserve"> </w:t>
      </w:r>
      <w:r w:rsidRPr="00E2283E">
        <w:rPr>
          <w:rFonts w:hint="eastAsia"/>
          <w:rtl/>
          <w:lang/>
        </w:rPr>
        <w:t>المعدل</w:t>
      </w:r>
      <w:r w:rsidRPr="00E2283E">
        <w:rPr>
          <w:lang/>
        </w:rPr>
        <w:t xml:space="preserve"> .</w:t>
      </w:r>
      <w:r w:rsidRPr="00E2283E">
        <w:rPr>
          <w:rFonts w:hint="eastAsia"/>
          <w:rtl/>
          <w:lang/>
        </w:rPr>
        <w:t>نتائج</w:t>
      </w:r>
      <w:r w:rsidRPr="00E2283E">
        <w:rPr>
          <w:rtl/>
          <w:lang/>
        </w:rPr>
        <w:t xml:space="preserve"> </w:t>
      </w:r>
      <w:r w:rsidRPr="00E2283E">
        <w:rPr>
          <w:rFonts w:hint="eastAsia"/>
          <w:rtl/>
          <w:lang/>
        </w:rPr>
        <w:t>البحث</w:t>
      </w:r>
      <w:r w:rsidRPr="00E2283E">
        <w:rPr>
          <w:rtl/>
          <w:lang/>
        </w:rPr>
        <w:t xml:space="preserve">: </w:t>
      </w:r>
      <w:r w:rsidRPr="00E2283E">
        <w:rPr>
          <w:rFonts w:hint="eastAsia"/>
          <w:rtl/>
          <w:lang/>
        </w:rPr>
        <w:t>أظهرت</w:t>
      </w:r>
      <w:r w:rsidRPr="00E2283E">
        <w:rPr>
          <w:rtl/>
          <w:lang/>
        </w:rPr>
        <w:t xml:space="preserve"> </w:t>
      </w:r>
      <w:r w:rsidRPr="00E2283E">
        <w:rPr>
          <w:rFonts w:hint="eastAsia"/>
          <w:rtl/>
          <w:lang/>
        </w:rPr>
        <w:t>النتائج</w:t>
      </w:r>
      <w:r w:rsidRPr="00E2283E">
        <w:rPr>
          <w:rtl/>
          <w:lang/>
        </w:rPr>
        <w:t xml:space="preserve"> </w:t>
      </w:r>
      <w:r w:rsidRPr="00E2283E">
        <w:rPr>
          <w:rFonts w:hint="eastAsia"/>
          <w:rtl/>
          <w:lang/>
        </w:rPr>
        <w:t>إنخفاض</w:t>
      </w:r>
      <w:r w:rsidRPr="00E2283E">
        <w:rPr>
          <w:rtl/>
          <w:lang/>
        </w:rPr>
        <w:t xml:space="preserve"> </w:t>
      </w:r>
      <w:r w:rsidRPr="00E2283E">
        <w:rPr>
          <w:rFonts w:hint="eastAsia"/>
          <w:rtl/>
          <w:lang/>
        </w:rPr>
        <w:t>مستوى</w:t>
      </w:r>
      <w:r w:rsidRPr="00E2283E">
        <w:rPr>
          <w:rtl/>
          <w:lang/>
        </w:rPr>
        <w:t xml:space="preserve"> </w:t>
      </w:r>
      <w:r w:rsidRPr="00E2283E">
        <w:rPr>
          <w:rFonts w:hint="eastAsia"/>
          <w:rtl/>
          <w:lang/>
        </w:rPr>
        <w:t>عامل</w:t>
      </w:r>
      <w:r w:rsidRPr="00E2283E">
        <w:rPr>
          <w:rtl/>
          <w:lang/>
        </w:rPr>
        <w:t xml:space="preserve"> </w:t>
      </w:r>
      <w:r w:rsidRPr="00E2283E">
        <w:rPr>
          <w:rFonts w:hint="eastAsia"/>
          <w:rtl/>
          <w:lang/>
        </w:rPr>
        <w:t>النمو</w:t>
      </w:r>
      <w:r w:rsidRPr="00E2283E">
        <w:rPr>
          <w:rtl/>
          <w:lang/>
        </w:rPr>
        <w:t xml:space="preserve"> </w:t>
      </w:r>
      <w:r w:rsidRPr="00E2283E">
        <w:rPr>
          <w:rFonts w:hint="eastAsia"/>
          <w:rtl/>
          <w:lang/>
        </w:rPr>
        <w:t>شبيه</w:t>
      </w:r>
      <w:r w:rsidRPr="00E2283E">
        <w:rPr>
          <w:rtl/>
          <w:lang/>
        </w:rPr>
        <w:t xml:space="preserve"> </w:t>
      </w:r>
      <w:r w:rsidRPr="00E2283E">
        <w:rPr>
          <w:rFonts w:hint="eastAsia"/>
          <w:rtl/>
          <w:lang/>
        </w:rPr>
        <w:t>الإنسولين</w:t>
      </w:r>
      <w:r w:rsidRPr="00E2283E">
        <w:rPr>
          <w:rtl/>
          <w:lang/>
        </w:rPr>
        <w:t>-1</w:t>
      </w:r>
      <w:r w:rsidRPr="00E2283E">
        <w:rPr>
          <w:lang/>
        </w:rPr>
        <w:t xml:space="preserve"> </w:t>
      </w:r>
      <w:r w:rsidRPr="00E2283E">
        <w:rPr>
          <w:rFonts w:hint="eastAsia"/>
          <w:rtl/>
          <w:lang/>
        </w:rPr>
        <w:t>فى</w:t>
      </w:r>
      <w:r w:rsidRPr="00E2283E">
        <w:rPr>
          <w:rtl/>
          <w:lang/>
        </w:rPr>
        <w:t xml:space="preserve"> </w:t>
      </w:r>
      <w:r w:rsidRPr="00E2283E">
        <w:rPr>
          <w:rFonts w:hint="eastAsia"/>
          <w:rtl/>
          <w:lang/>
        </w:rPr>
        <w:t>المرضى</w:t>
      </w:r>
      <w:r w:rsidRPr="00E2283E">
        <w:rPr>
          <w:rtl/>
          <w:lang/>
        </w:rPr>
        <w:t xml:space="preserve"> </w:t>
      </w:r>
      <w:r w:rsidRPr="00E2283E">
        <w:rPr>
          <w:rFonts w:hint="eastAsia"/>
          <w:rtl/>
          <w:lang/>
        </w:rPr>
        <w:t>عنه</w:t>
      </w:r>
      <w:r w:rsidRPr="00E2283E">
        <w:rPr>
          <w:rtl/>
          <w:lang/>
        </w:rPr>
        <w:t xml:space="preserve"> </w:t>
      </w:r>
      <w:r w:rsidRPr="00E2283E">
        <w:rPr>
          <w:rFonts w:hint="eastAsia"/>
          <w:rtl/>
          <w:lang/>
        </w:rPr>
        <w:t>فى</w:t>
      </w:r>
      <w:r w:rsidRPr="00E2283E">
        <w:rPr>
          <w:rtl/>
          <w:lang/>
        </w:rPr>
        <w:t xml:space="preserve"> </w:t>
      </w:r>
      <w:r w:rsidRPr="00E2283E">
        <w:rPr>
          <w:rFonts w:hint="eastAsia"/>
          <w:rtl/>
          <w:lang/>
        </w:rPr>
        <w:t>المجموعة</w:t>
      </w:r>
      <w:r w:rsidRPr="00E2283E">
        <w:rPr>
          <w:rtl/>
          <w:lang/>
        </w:rPr>
        <w:t xml:space="preserve"> </w:t>
      </w:r>
      <w:r w:rsidRPr="00E2283E">
        <w:rPr>
          <w:rFonts w:hint="eastAsia"/>
          <w:rtl/>
          <w:lang/>
        </w:rPr>
        <w:t>الضابطة</w:t>
      </w:r>
      <w:r w:rsidRPr="00E2283E">
        <w:rPr>
          <w:lang/>
        </w:rPr>
        <w:t xml:space="preserve">. </w:t>
      </w:r>
      <w:r w:rsidRPr="00E2283E">
        <w:rPr>
          <w:rtl/>
          <w:lang/>
        </w:rPr>
        <w:t xml:space="preserve"> </w:t>
      </w:r>
      <w:r w:rsidRPr="00E2283E">
        <w:rPr>
          <w:rFonts w:hint="eastAsia"/>
          <w:rtl/>
          <w:lang/>
        </w:rPr>
        <w:t>وكان</w:t>
      </w:r>
      <w:r w:rsidRPr="00E2283E">
        <w:rPr>
          <w:rtl/>
          <w:lang/>
        </w:rPr>
        <w:t xml:space="preserve"> </w:t>
      </w:r>
      <w:r w:rsidRPr="00E2283E">
        <w:rPr>
          <w:rFonts w:hint="eastAsia"/>
          <w:rtl/>
          <w:lang/>
        </w:rPr>
        <w:t>مستواه</w:t>
      </w:r>
      <w:r w:rsidRPr="00E2283E">
        <w:rPr>
          <w:rtl/>
          <w:lang/>
        </w:rPr>
        <w:t xml:space="preserve"> </w:t>
      </w:r>
      <w:r w:rsidRPr="00E2283E">
        <w:rPr>
          <w:rFonts w:hint="eastAsia"/>
          <w:rtl/>
          <w:lang/>
        </w:rPr>
        <w:t>يتناسب</w:t>
      </w:r>
      <w:r w:rsidRPr="00E2283E">
        <w:rPr>
          <w:rtl/>
          <w:lang/>
        </w:rPr>
        <w:t xml:space="preserve"> </w:t>
      </w:r>
      <w:r w:rsidRPr="00E2283E">
        <w:rPr>
          <w:rFonts w:hint="eastAsia"/>
          <w:rtl/>
          <w:lang/>
        </w:rPr>
        <w:t>عكسيا</w:t>
      </w:r>
      <w:r w:rsidRPr="00E2283E">
        <w:rPr>
          <w:rtl/>
          <w:lang/>
        </w:rPr>
        <w:t xml:space="preserve"> </w:t>
      </w:r>
      <w:r w:rsidRPr="00E2283E">
        <w:rPr>
          <w:rFonts w:hint="eastAsia"/>
          <w:rtl/>
          <w:lang/>
        </w:rPr>
        <w:t>مع</w:t>
      </w:r>
      <w:r w:rsidRPr="00E2283E">
        <w:rPr>
          <w:rtl/>
          <w:lang/>
        </w:rPr>
        <w:t xml:space="preserve"> </w:t>
      </w:r>
      <w:r w:rsidRPr="00E2283E">
        <w:rPr>
          <w:rFonts w:hint="eastAsia"/>
          <w:rtl/>
          <w:lang/>
        </w:rPr>
        <w:t>درجة</w:t>
      </w:r>
      <w:r w:rsidRPr="00E2283E">
        <w:rPr>
          <w:rtl/>
          <w:lang/>
        </w:rPr>
        <w:t xml:space="preserve"> </w:t>
      </w:r>
      <w:r w:rsidRPr="00E2283E">
        <w:rPr>
          <w:rFonts w:hint="eastAsia"/>
          <w:rtl/>
          <w:lang/>
        </w:rPr>
        <w:t>الخلل</w:t>
      </w:r>
      <w:r w:rsidRPr="00E2283E">
        <w:rPr>
          <w:rtl/>
          <w:lang/>
        </w:rPr>
        <w:t xml:space="preserve"> </w:t>
      </w:r>
      <w:r w:rsidRPr="00E2283E">
        <w:rPr>
          <w:rFonts w:hint="eastAsia"/>
          <w:rtl/>
          <w:lang/>
        </w:rPr>
        <w:t>الوظيفى</w:t>
      </w:r>
      <w:r w:rsidRPr="00E2283E">
        <w:rPr>
          <w:rtl/>
          <w:lang/>
        </w:rPr>
        <w:t xml:space="preserve"> </w:t>
      </w:r>
      <w:r w:rsidRPr="00E2283E">
        <w:rPr>
          <w:rFonts w:hint="eastAsia"/>
          <w:rtl/>
          <w:lang/>
        </w:rPr>
        <w:t>للكبد</w:t>
      </w:r>
      <w:r w:rsidRPr="00E2283E">
        <w:rPr>
          <w:lang/>
        </w:rPr>
        <w:t xml:space="preserve">. </w:t>
      </w:r>
      <w:r w:rsidRPr="00E2283E">
        <w:rPr>
          <w:rFonts w:hint="eastAsia"/>
          <w:rtl/>
          <w:lang/>
        </w:rPr>
        <w:t>كما</w:t>
      </w:r>
      <w:r w:rsidRPr="00E2283E">
        <w:rPr>
          <w:rtl/>
          <w:lang/>
        </w:rPr>
        <w:t xml:space="preserve"> </w:t>
      </w:r>
      <w:r w:rsidRPr="00E2283E">
        <w:rPr>
          <w:rFonts w:hint="eastAsia"/>
          <w:rtl/>
          <w:lang/>
        </w:rPr>
        <w:t>لم</w:t>
      </w:r>
      <w:r w:rsidRPr="00E2283E">
        <w:rPr>
          <w:rtl/>
          <w:lang/>
        </w:rPr>
        <w:t xml:space="preserve"> </w:t>
      </w:r>
      <w:r w:rsidRPr="00E2283E">
        <w:rPr>
          <w:rFonts w:hint="eastAsia"/>
          <w:rtl/>
          <w:lang/>
        </w:rPr>
        <w:t>تثبت</w:t>
      </w:r>
      <w:r w:rsidRPr="00E2283E">
        <w:rPr>
          <w:rtl/>
          <w:lang/>
        </w:rPr>
        <w:t xml:space="preserve"> </w:t>
      </w:r>
      <w:r w:rsidRPr="00E2283E">
        <w:rPr>
          <w:rFonts w:hint="eastAsia"/>
          <w:rtl/>
          <w:lang/>
        </w:rPr>
        <w:t>الدراسة</w:t>
      </w:r>
      <w:r w:rsidRPr="00E2283E">
        <w:rPr>
          <w:rtl/>
          <w:lang/>
        </w:rPr>
        <w:t xml:space="preserve"> </w:t>
      </w:r>
      <w:r w:rsidRPr="00E2283E">
        <w:rPr>
          <w:rFonts w:hint="eastAsia"/>
          <w:rtl/>
          <w:lang/>
        </w:rPr>
        <w:t>وجود</w:t>
      </w:r>
      <w:r w:rsidRPr="00E2283E">
        <w:rPr>
          <w:rtl/>
          <w:lang/>
        </w:rPr>
        <w:t xml:space="preserve"> </w:t>
      </w:r>
      <w:r w:rsidRPr="00E2283E">
        <w:rPr>
          <w:rFonts w:hint="eastAsia"/>
          <w:rtl/>
          <w:lang/>
        </w:rPr>
        <w:t>علاقة</w:t>
      </w:r>
      <w:r w:rsidRPr="00E2283E">
        <w:rPr>
          <w:rtl/>
          <w:lang/>
        </w:rPr>
        <w:t xml:space="preserve"> </w:t>
      </w:r>
      <w:r w:rsidRPr="00E2283E">
        <w:rPr>
          <w:rFonts w:hint="eastAsia"/>
          <w:rtl/>
          <w:lang/>
        </w:rPr>
        <w:t>ذات</w:t>
      </w:r>
      <w:r w:rsidRPr="00E2283E">
        <w:rPr>
          <w:rtl/>
          <w:lang/>
        </w:rPr>
        <w:t xml:space="preserve"> </w:t>
      </w:r>
      <w:r w:rsidRPr="00E2283E">
        <w:rPr>
          <w:rFonts w:hint="eastAsia"/>
          <w:rtl/>
          <w:lang/>
        </w:rPr>
        <w:t>قيمة</w:t>
      </w:r>
      <w:r w:rsidRPr="00E2283E">
        <w:rPr>
          <w:rtl/>
          <w:lang/>
        </w:rPr>
        <w:t xml:space="preserve"> </w:t>
      </w:r>
      <w:r w:rsidRPr="00E2283E">
        <w:rPr>
          <w:rFonts w:hint="eastAsia"/>
          <w:rtl/>
          <w:lang/>
        </w:rPr>
        <w:t>إحصائية</w:t>
      </w:r>
      <w:r w:rsidRPr="00E2283E">
        <w:rPr>
          <w:rtl/>
          <w:lang/>
        </w:rPr>
        <w:t xml:space="preserve"> </w:t>
      </w:r>
      <w:r w:rsidRPr="00E2283E">
        <w:rPr>
          <w:rFonts w:hint="eastAsia"/>
          <w:rtl/>
          <w:lang/>
        </w:rPr>
        <w:t>بين</w:t>
      </w:r>
      <w:r w:rsidRPr="00E2283E">
        <w:rPr>
          <w:rtl/>
          <w:lang/>
        </w:rPr>
        <w:t xml:space="preserve"> </w:t>
      </w:r>
      <w:r w:rsidRPr="00E2283E">
        <w:rPr>
          <w:rFonts w:hint="eastAsia"/>
          <w:rtl/>
          <w:lang/>
        </w:rPr>
        <w:t>مستوى</w:t>
      </w:r>
      <w:r w:rsidRPr="00E2283E">
        <w:rPr>
          <w:rtl/>
          <w:lang/>
        </w:rPr>
        <w:t xml:space="preserve"> </w:t>
      </w:r>
      <w:r w:rsidRPr="00E2283E">
        <w:rPr>
          <w:rFonts w:hint="eastAsia"/>
          <w:rtl/>
          <w:lang/>
        </w:rPr>
        <w:t>عامل</w:t>
      </w:r>
      <w:r w:rsidRPr="00E2283E">
        <w:rPr>
          <w:rtl/>
          <w:lang/>
        </w:rPr>
        <w:t xml:space="preserve"> </w:t>
      </w:r>
      <w:r w:rsidRPr="00E2283E">
        <w:rPr>
          <w:rFonts w:hint="eastAsia"/>
          <w:rtl/>
          <w:lang/>
        </w:rPr>
        <w:t>النمو</w:t>
      </w:r>
      <w:r w:rsidRPr="00E2283E">
        <w:rPr>
          <w:rtl/>
          <w:lang/>
        </w:rPr>
        <w:t xml:space="preserve"> </w:t>
      </w:r>
      <w:r w:rsidRPr="00E2283E">
        <w:rPr>
          <w:rFonts w:hint="eastAsia"/>
          <w:rtl/>
          <w:lang/>
        </w:rPr>
        <w:t>شبيه</w:t>
      </w:r>
      <w:r w:rsidRPr="00E2283E">
        <w:rPr>
          <w:rtl/>
          <w:lang/>
        </w:rPr>
        <w:t xml:space="preserve"> </w:t>
      </w:r>
      <w:r w:rsidRPr="00E2283E">
        <w:rPr>
          <w:rFonts w:hint="eastAsia"/>
          <w:rtl/>
          <w:lang/>
        </w:rPr>
        <w:t>الإنسولين</w:t>
      </w:r>
      <w:r w:rsidRPr="00E2283E">
        <w:rPr>
          <w:rtl/>
          <w:lang/>
        </w:rPr>
        <w:t xml:space="preserve">-1 </w:t>
      </w:r>
      <w:r w:rsidRPr="00E2283E">
        <w:rPr>
          <w:rFonts w:hint="eastAsia"/>
          <w:rtl/>
          <w:lang/>
        </w:rPr>
        <w:t>وأي</w:t>
      </w:r>
      <w:r w:rsidRPr="00E2283E">
        <w:rPr>
          <w:rtl/>
          <w:lang/>
        </w:rPr>
        <w:t xml:space="preserve"> </w:t>
      </w:r>
      <w:r w:rsidRPr="00E2283E">
        <w:rPr>
          <w:rFonts w:hint="eastAsia"/>
          <w:rtl/>
          <w:lang/>
        </w:rPr>
        <w:t>من</w:t>
      </w:r>
      <w:r w:rsidRPr="00E2283E">
        <w:rPr>
          <w:rtl/>
          <w:lang/>
        </w:rPr>
        <w:t xml:space="preserve"> </w:t>
      </w:r>
      <w:r w:rsidRPr="00E2283E">
        <w:rPr>
          <w:rFonts w:hint="eastAsia"/>
          <w:rtl/>
          <w:lang/>
        </w:rPr>
        <w:t>المعايير</w:t>
      </w:r>
      <w:r w:rsidRPr="00E2283E">
        <w:rPr>
          <w:rtl/>
          <w:lang/>
        </w:rPr>
        <w:t xml:space="preserve"> </w:t>
      </w:r>
      <w:r w:rsidRPr="00E2283E">
        <w:rPr>
          <w:rFonts w:hint="eastAsia"/>
          <w:rtl/>
          <w:lang/>
        </w:rPr>
        <w:t>الأنثروبومترية</w:t>
      </w:r>
      <w:r w:rsidRPr="00E2283E">
        <w:rPr>
          <w:lang/>
        </w:rPr>
        <w:t>.</w:t>
      </w:r>
      <w:r w:rsidRPr="00E2283E">
        <w:rPr>
          <w:rtl/>
          <w:lang/>
        </w:rPr>
        <w:t xml:space="preserve"> </w:t>
      </w:r>
      <w:r w:rsidRPr="00E2283E">
        <w:rPr>
          <w:rFonts w:hint="eastAsia"/>
          <w:rtl/>
          <w:lang/>
        </w:rPr>
        <w:t>الخلاصة</w:t>
      </w:r>
      <w:r w:rsidRPr="00E2283E">
        <w:rPr>
          <w:rtl/>
          <w:lang/>
        </w:rPr>
        <w:t xml:space="preserve"> : </w:t>
      </w:r>
      <w:r w:rsidRPr="00E2283E">
        <w:rPr>
          <w:rFonts w:hint="eastAsia"/>
          <w:rtl/>
          <w:lang/>
        </w:rPr>
        <w:t>مستوى</w:t>
      </w:r>
      <w:r w:rsidRPr="00E2283E">
        <w:rPr>
          <w:rtl/>
          <w:lang/>
        </w:rPr>
        <w:t xml:space="preserve"> </w:t>
      </w:r>
      <w:r w:rsidRPr="00E2283E">
        <w:rPr>
          <w:rFonts w:hint="eastAsia"/>
          <w:rtl/>
          <w:lang/>
        </w:rPr>
        <w:t>عامل</w:t>
      </w:r>
      <w:r w:rsidRPr="00E2283E">
        <w:rPr>
          <w:rtl/>
          <w:lang/>
        </w:rPr>
        <w:t xml:space="preserve"> </w:t>
      </w:r>
      <w:r w:rsidRPr="00E2283E">
        <w:rPr>
          <w:rFonts w:hint="eastAsia"/>
          <w:rtl/>
          <w:lang/>
        </w:rPr>
        <w:t>النمو</w:t>
      </w:r>
      <w:r w:rsidRPr="00E2283E">
        <w:rPr>
          <w:rtl/>
          <w:lang/>
        </w:rPr>
        <w:t xml:space="preserve"> </w:t>
      </w:r>
      <w:r w:rsidRPr="00E2283E">
        <w:rPr>
          <w:rFonts w:hint="eastAsia"/>
          <w:rtl/>
          <w:lang/>
        </w:rPr>
        <w:t>شبيه</w:t>
      </w:r>
      <w:r w:rsidRPr="00E2283E">
        <w:rPr>
          <w:rtl/>
          <w:lang/>
        </w:rPr>
        <w:t xml:space="preserve"> </w:t>
      </w:r>
      <w:r w:rsidRPr="00E2283E">
        <w:rPr>
          <w:rFonts w:hint="eastAsia"/>
          <w:rtl/>
          <w:lang/>
        </w:rPr>
        <w:t>الإنسولين</w:t>
      </w:r>
      <w:r w:rsidRPr="00E2283E">
        <w:rPr>
          <w:rtl/>
          <w:lang/>
        </w:rPr>
        <w:t xml:space="preserve">- 1 </w:t>
      </w:r>
      <w:r w:rsidRPr="00E2283E">
        <w:rPr>
          <w:rFonts w:hint="eastAsia"/>
          <w:rtl/>
          <w:lang/>
        </w:rPr>
        <w:t>يتناسب</w:t>
      </w:r>
      <w:r w:rsidRPr="00E2283E">
        <w:rPr>
          <w:rtl/>
          <w:lang/>
        </w:rPr>
        <w:t xml:space="preserve"> </w:t>
      </w:r>
      <w:r w:rsidRPr="00E2283E">
        <w:rPr>
          <w:rFonts w:hint="eastAsia"/>
          <w:rtl/>
          <w:lang/>
        </w:rPr>
        <w:t>مع</w:t>
      </w:r>
      <w:r w:rsidRPr="00E2283E">
        <w:rPr>
          <w:rtl/>
          <w:lang/>
        </w:rPr>
        <w:t xml:space="preserve"> </w:t>
      </w:r>
      <w:r w:rsidRPr="00E2283E">
        <w:rPr>
          <w:rFonts w:hint="eastAsia"/>
          <w:rtl/>
          <w:lang/>
        </w:rPr>
        <w:t>الحالة</w:t>
      </w:r>
      <w:r w:rsidRPr="00E2283E">
        <w:rPr>
          <w:rtl/>
          <w:lang/>
        </w:rPr>
        <w:t xml:space="preserve"> </w:t>
      </w:r>
      <w:r w:rsidRPr="00E2283E">
        <w:rPr>
          <w:rFonts w:hint="eastAsia"/>
          <w:rtl/>
          <w:lang/>
        </w:rPr>
        <w:t>الوظيفية</w:t>
      </w:r>
      <w:r w:rsidRPr="00E2283E">
        <w:rPr>
          <w:rtl/>
          <w:lang/>
        </w:rPr>
        <w:t xml:space="preserve"> </w:t>
      </w:r>
      <w:r w:rsidRPr="00E2283E">
        <w:rPr>
          <w:rFonts w:hint="eastAsia"/>
          <w:rtl/>
          <w:lang/>
        </w:rPr>
        <w:t>للكبد</w:t>
      </w:r>
      <w:r w:rsidRPr="00E2283E">
        <w:rPr>
          <w:rtl/>
          <w:lang/>
        </w:rPr>
        <w:t xml:space="preserve"> </w:t>
      </w:r>
      <w:r w:rsidRPr="00E2283E">
        <w:rPr>
          <w:rFonts w:hint="eastAsia"/>
          <w:rtl/>
          <w:lang/>
        </w:rPr>
        <w:t>وليس</w:t>
      </w:r>
      <w:r w:rsidRPr="00E2283E">
        <w:rPr>
          <w:rtl/>
          <w:lang/>
        </w:rPr>
        <w:t xml:space="preserve"> </w:t>
      </w:r>
      <w:r w:rsidRPr="00E2283E">
        <w:rPr>
          <w:rFonts w:hint="eastAsia"/>
          <w:rtl/>
          <w:lang/>
        </w:rPr>
        <w:t>الحالة</w:t>
      </w:r>
      <w:r w:rsidRPr="00E2283E">
        <w:rPr>
          <w:rtl/>
          <w:lang/>
        </w:rPr>
        <w:t xml:space="preserve"> </w:t>
      </w:r>
      <w:r w:rsidRPr="00E2283E">
        <w:rPr>
          <w:rFonts w:hint="eastAsia"/>
          <w:rtl/>
          <w:lang/>
        </w:rPr>
        <w:t>الغذائية</w:t>
      </w:r>
      <w:r w:rsidRPr="00E2283E">
        <w:rPr>
          <w:lang/>
        </w:rPr>
        <w:t>.</w:t>
      </w:r>
    </w:p>
    <w:p w:rsidR="008F03B5" w:rsidRPr="00E2283E" w:rsidRDefault="008F03B5" w:rsidP="00E2283E">
      <w:pPr>
        <w:spacing w:after="0" w:line="360" w:lineRule="auto"/>
        <w:ind w:firstLine="425"/>
        <w:jc w:val="both"/>
        <w:rPr>
          <w:rtl/>
          <w:lang/>
        </w:rPr>
      </w:pPr>
      <w:r w:rsidRPr="00E2283E">
        <w:rPr>
          <w:rFonts w:hint="eastAsia"/>
          <w:rtl/>
          <w:lang/>
        </w:rPr>
        <w:t>الكلمات</w:t>
      </w:r>
      <w:r w:rsidRPr="00E2283E">
        <w:rPr>
          <w:rtl/>
          <w:lang/>
        </w:rPr>
        <w:t xml:space="preserve"> </w:t>
      </w:r>
      <w:r w:rsidRPr="00E2283E">
        <w:rPr>
          <w:rFonts w:hint="eastAsia"/>
          <w:rtl/>
          <w:lang/>
        </w:rPr>
        <w:t>المفتاحية</w:t>
      </w:r>
      <w:r w:rsidRPr="00E2283E">
        <w:rPr>
          <w:rtl/>
          <w:lang/>
        </w:rPr>
        <w:t xml:space="preserve">:      </w:t>
      </w:r>
      <w:r w:rsidRPr="00E2283E">
        <w:rPr>
          <w:rFonts w:hint="eastAsia"/>
          <w:rtl/>
          <w:lang/>
        </w:rPr>
        <w:t>عامل</w:t>
      </w:r>
      <w:r w:rsidRPr="00E2283E">
        <w:rPr>
          <w:rtl/>
          <w:lang/>
        </w:rPr>
        <w:t xml:space="preserve">  </w:t>
      </w:r>
      <w:r w:rsidRPr="00E2283E">
        <w:rPr>
          <w:rFonts w:hint="eastAsia"/>
          <w:rtl/>
          <w:lang/>
        </w:rPr>
        <w:t>النمو</w:t>
      </w:r>
      <w:r w:rsidRPr="00E2283E">
        <w:rPr>
          <w:rtl/>
          <w:lang/>
        </w:rPr>
        <w:t xml:space="preserve"> </w:t>
      </w:r>
      <w:r w:rsidRPr="00E2283E">
        <w:rPr>
          <w:rFonts w:hint="eastAsia"/>
          <w:rtl/>
          <w:lang/>
        </w:rPr>
        <w:t>شبيه</w:t>
      </w:r>
      <w:r w:rsidRPr="00E2283E">
        <w:rPr>
          <w:rtl/>
          <w:lang/>
        </w:rPr>
        <w:t xml:space="preserve"> </w:t>
      </w:r>
      <w:r w:rsidRPr="00E2283E">
        <w:rPr>
          <w:rFonts w:hint="eastAsia"/>
          <w:rtl/>
          <w:lang/>
        </w:rPr>
        <w:t>الإنسولين</w:t>
      </w:r>
      <w:r w:rsidRPr="00E2283E">
        <w:rPr>
          <w:rtl/>
          <w:lang/>
        </w:rPr>
        <w:t xml:space="preserve">-1- </w:t>
      </w:r>
      <w:r w:rsidRPr="00E2283E">
        <w:rPr>
          <w:rFonts w:hint="eastAsia"/>
          <w:rtl/>
          <w:lang/>
        </w:rPr>
        <w:t>الأطفال</w:t>
      </w:r>
      <w:r w:rsidRPr="00E2283E">
        <w:rPr>
          <w:rtl/>
          <w:lang/>
        </w:rPr>
        <w:t xml:space="preserve">- </w:t>
      </w:r>
      <w:r w:rsidRPr="00E2283E">
        <w:rPr>
          <w:rFonts w:hint="eastAsia"/>
          <w:rtl/>
          <w:lang/>
        </w:rPr>
        <w:t>أمراض</w:t>
      </w:r>
      <w:r w:rsidRPr="00E2283E">
        <w:rPr>
          <w:rtl/>
          <w:lang/>
        </w:rPr>
        <w:t xml:space="preserve"> </w:t>
      </w:r>
      <w:r w:rsidRPr="00E2283E">
        <w:rPr>
          <w:rFonts w:hint="eastAsia"/>
          <w:rtl/>
          <w:lang/>
        </w:rPr>
        <w:t>الكبد</w:t>
      </w:r>
      <w:r w:rsidRPr="00E2283E">
        <w:rPr>
          <w:rtl/>
          <w:lang/>
        </w:rPr>
        <w:t xml:space="preserve"> </w:t>
      </w:r>
      <w:r w:rsidRPr="00E2283E">
        <w:rPr>
          <w:rFonts w:hint="eastAsia"/>
          <w:rtl/>
          <w:lang/>
        </w:rPr>
        <w:t>المزمنة</w:t>
      </w:r>
    </w:p>
    <w:p w:rsidR="008F03B5" w:rsidRPr="00E2283E" w:rsidRDefault="008F03B5" w:rsidP="00E2283E">
      <w:pPr>
        <w:spacing w:after="0" w:line="360" w:lineRule="auto"/>
        <w:ind w:firstLine="425"/>
        <w:jc w:val="both"/>
        <w:rPr>
          <w:lang/>
        </w:rPr>
      </w:pPr>
      <w:r w:rsidRPr="00E2283E">
        <w:rPr>
          <w:lang/>
        </w:rPr>
        <w:t>Introduction</w:t>
      </w:r>
    </w:p>
    <w:p w:rsidR="008F03B5" w:rsidRPr="00E2283E" w:rsidRDefault="008F03B5" w:rsidP="00E2283E">
      <w:pPr>
        <w:spacing w:after="0" w:line="360" w:lineRule="auto"/>
        <w:ind w:firstLine="425"/>
        <w:jc w:val="both"/>
        <w:rPr>
          <w:lang/>
        </w:rPr>
      </w:pPr>
      <w:r w:rsidRPr="00E2283E">
        <w:rPr>
          <w:lang/>
        </w:rPr>
        <w:t xml:space="preserve">Chronic liver disease (CLD) is a disease process of the </w:t>
      </w:r>
      <w:hyperlink r:id="rId7" w:tooltip="Liver" w:history="1">
        <w:r w:rsidRPr="00E2283E">
          <w:rPr>
            <w:lang/>
          </w:rPr>
          <w:t>liver</w:t>
        </w:r>
      </w:hyperlink>
      <w:r w:rsidRPr="00E2283E">
        <w:rPr>
          <w:lang/>
        </w:rPr>
        <w:t xml:space="preserve"> that involves a process of progressive destruction and regeneration of the liver </w:t>
      </w:r>
      <w:hyperlink r:id="rId8" w:tooltip="Parenchyma" w:history="1">
        <w:r w:rsidRPr="00E2283E">
          <w:rPr>
            <w:lang/>
          </w:rPr>
          <w:t>parenchyma</w:t>
        </w:r>
      </w:hyperlink>
      <w:r w:rsidRPr="00E2283E">
        <w:rPr>
          <w:lang/>
        </w:rPr>
        <w:t xml:space="preserve"> leading to </w:t>
      </w:r>
      <w:hyperlink r:id="rId9" w:tooltip="Fibrosis" w:history="1">
        <w:r w:rsidRPr="00E2283E">
          <w:rPr>
            <w:lang/>
          </w:rPr>
          <w:t>fibrosis</w:t>
        </w:r>
      </w:hyperlink>
      <w:r w:rsidRPr="00E2283E">
        <w:rPr>
          <w:lang/>
        </w:rPr>
        <w:t xml:space="preserve"> and </w:t>
      </w:r>
      <w:hyperlink r:id="rId10" w:tooltip="Cirrhosis" w:history="1">
        <w:r w:rsidRPr="00E2283E">
          <w:rPr>
            <w:lang/>
          </w:rPr>
          <w:t>cirrhosis</w:t>
        </w:r>
      </w:hyperlink>
      <w:r w:rsidRPr="00E2283E">
        <w:rPr>
          <w:lang/>
        </w:rPr>
        <w:t xml:space="preserve"> (Shepherd, 2008).</w:t>
      </w:r>
    </w:p>
    <w:p w:rsidR="008F03B5" w:rsidRPr="00E2283E" w:rsidRDefault="008F03B5" w:rsidP="00E2283E">
      <w:pPr>
        <w:autoSpaceDE w:val="0"/>
        <w:autoSpaceDN w:val="0"/>
        <w:bidi w:val="0"/>
        <w:adjustRightInd w:val="0"/>
        <w:spacing w:after="0" w:line="360" w:lineRule="auto"/>
        <w:ind w:firstLine="425"/>
        <w:jc w:val="both"/>
        <w:rPr>
          <w:lang/>
        </w:rPr>
      </w:pPr>
      <w:r w:rsidRPr="00E2283E">
        <w:rPr>
          <w:lang/>
        </w:rPr>
        <w:t xml:space="preserve">Insulin-like growth factor-I (IGF-I) is a  polypeptide hormone that functions as the major mediator of growth hormone (GH)-stimulated somatic growth, as well as a mediator of GH-independent anabolic responses in many cells and tissues. (Bonefeld and Møller, 2011; Clemmons, 2012; </w:t>
      </w:r>
      <w:hyperlink r:id="rId11" w:history="1">
        <w:r w:rsidRPr="00E2283E">
          <w:rPr>
            <w:lang/>
          </w:rPr>
          <w:t xml:space="preserve">Puche  and </w:t>
        </w:r>
      </w:hyperlink>
      <w:r w:rsidRPr="00E2283E">
        <w:rPr>
          <w:lang/>
        </w:rPr>
        <w:t xml:space="preserve"> </w:t>
      </w:r>
      <w:hyperlink r:id="rId12" w:history="1">
        <w:r w:rsidRPr="00E2283E">
          <w:rPr>
            <w:lang/>
          </w:rPr>
          <w:t>Castilla-Cortázar,</w:t>
        </w:r>
      </w:hyperlink>
      <w:r w:rsidRPr="00E2283E">
        <w:rPr>
          <w:lang/>
        </w:rPr>
        <w:t xml:space="preserve"> 2012).</w:t>
      </w:r>
    </w:p>
    <w:p w:rsidR="008F03B5" w:rsidRPr="00E2283E" w:rsidRDefault="008F03B5" w:rsidP="00E2283E">
      <w:pPr>
        <w:autoSpaceDE w:val="0"/>
        <w:autoSpaceDN w:val="0"/>
        <w:bidi w:val="0"/>
        <w:adjustRightInd w:val="0"/>
        <w:spacing w:after="0" w:line="360" w:lineRule="auto"/>
        <w:ind w:firstLine="425"/>
        <w:jc w:val="both"/>
        <w:rPr>
          <w:lang/>
        </w:rPr>
      </w:pPr>
      <w:r w:rsidRPr="00E2283E">
        <w:rPr>
          <w:lang/>
        </w:rPr>
        <w:t>Malnutrition and growth retardation are important consequences of CLD in childhood. They are associated with frequent complications, hospitalization, poor outcome after liver transplantation, and ultimately death (Roongpisuthipong, 2001; Hurtado-López et al., 2007).</w:t>
      </w:r>
    </w:p>
    <w:p w:rsidR="008F03B5" w:rsidRPr="00E2283E" w:rsidRDefault="008F03B5" w:rsidP="00E2283E">
      <w:pPr>
        <w:autoSpaceDE w:val="0"/>
        <w:autoSpaceDN w:val="0"/>
        <w:bidi w:val="0"/>
        <w:adjustRightInd w:val="0"/>
        <w:spacing w:after="0" w:line="360" w:lineRule="auto"/>
        <w:ind w:firstLine="425"/>
        <w:jc w:val="both"/>
        <w:rPr>
          <w:lang/>
        </w:rPr>
      </w:pPr>
      <w:r w:rsidRPr="00E2283E">
        <w:rPr>
          <w:lang/>
        </w:rPr>
        <w:t>The pathogenesis of malnutrition in CLD is multifactorial and includes a reduction in nutrient and caloric intake, anorexia and dietary restrictions, impaired intestinal absorption, abnormalities in nutrient metabolism, and  increased proinflammatory cytokine levels, resulting in a hypermetabolic state (Sanchez and Aranda-Michel, 2006; Hurtado-López et al., 2007; Nightingale and Ng, 2009). A disturbed growth hormone (GH)–insulin-like growth factor (IGF-1) axis may also contribute to wasting and growth failure in children with liver disease, by virtue of IGF-1 deficiency and GH resistance (Shepherd, 2008).</w:t>
      </w:r>
    </w:p>
    <w:p w:rsidR="008F03B5" w:rsidRPr="00E2283E" w:rsidRDefault="008F03B5" w:rsidP="00E2283E">
      <w:pPr>
        <w:bidi w:val="0"/>
        <w:spacing w:after="0" w:line="360" w:lineRule="auto"/>
        <w:ind w:firstLine="425"/>
        <w:jc w:val="both"/>
        <w:rPr>
          <w:lang/>
        </w:rPr>
      </w:pPr>
      <w:r w:rsidRPr="00E2283E">
        <w:rPr>
          <w:lang/>
        </w:rPr>
        <w:t xml:space="preserve">The nutritional status has a great influence on IGF-I. Both the energy and protein content of the diet are important in the maintenance of IGF-1(Livingstone, 2013). </w:t>
      </w:r>
      <w:r w:rsidRPr="00E2283E">
        <w:rPr>
          <w:rFonts w:eastAsia="HelveticaNeue-Roman"/>
          <w:lang/>
        </w:rPr>
        <w:t>Although IGF is a marker of protein metabolism, that can be used to assess malnutrition. However, in CLD, with impaired IGF synthesis, its use may lead to an exaggeration of the degree of malnutrition (Stephenson et al</w:t>
      </w:r>
      <w:r w:rsidRPr="00E2283E">
        <w:rPr>
          <w:lang/>
        </w:rPr>
        <w:t>.</w:t>
      </w:r>
      <w:r w:rsidRPr="00E2283E">
        <w:rPr>
          <w:rFonts w:eastAsia="HelveticaNeue-Roman"/>
          <w:lang/>
        </w:rPr>
        <w:t xml:space="preserve">, 2001; Taylor </w:t>
      </w:r>
      <w:r w:rsidRPr="00E2283E">
        <w:rPr>
          <w:lang/>
        </w:rPr>
        <w:t>and</w:t>
      </w:r>
      <w:r w:rsidRPr="00E2283E">
        <w:rPr>
          <w:rFonts w:eastAsia="HelveticaNeue-Roman"/>
          <w:lang/>
        </w:rPr>
        <w:t xml:space="preserve"> Dhawan,  2005; Socha, 2008).</w:t>
      </w:r>
      <w:r w:rsidRPr="00E2283E">
        <w:rPr>
          <w:lang/>
        </w:rPr>
        <w:t xml:space="preserve"> Moreover, Colakoğlu et al., 2007; Dehghani et al., 2012; </w:t>
      </w:r>
      <w:hyperlink r:id="rId13" w:history="1">
        <w:r w:rsidRPr="00E2283E">
          <w:rPr>
            <w:lang/>
          </w:rPr>
          <w:t xml:space="preserve">Khoshnood </w:t>
        </w:r>
      </w:hyperlink>
      <w:r w:rsidRPr="00E2283E">
        <w:rPr>
          <w:lang/>
        </w:rPr>
        <w:t xml:space="preserve"> et al., 2013 and </w:t>
      </w:r>
      <w:hyperlink r:id="rId14" w:history="1">
        <w:r w:rsidRPr="00E2283E">
          <w:rPr>
            <w:lang/>
          </w:rPr>
          <w:t xml:space="preserve">Ronsoni </w:t>
        </w:r>
      </w:hyperlink>
      <w:r w:rsidRPr="00E2283E">
        <w:rPr>
          <w:lang/>
        </w:rPr>
        <w:t>et al., 2013 reported  a decrease of IGF level  in patients with CLD, and they found that its level was correlating to the extent of hepatic dysfunction rather than the degree of malnutrition.</w:t>
      </w:r>
    </w:p>
    <w:p w:rsidR="008F03B5" w:rsidRPr="00E2283E" w:rsidRDefault="008F03B5" w:rsidP="00E2283E">
      <w:pPr>
        <w:bidi w:val="0"/>
        <w:spacing w:after="0" w:line="360" w:lineRule="auto"/>
        <w:ind w:firstLine="425"/>
        <w:jc w:val="both"/>
        <w:rPr>
          <w:lang/>
        </w:rPr>
      </w:pPr>
      <w:r w:rsidRPr="00E2283E">
        <w:rPr>
          <w:lang/>
        </w:rPr>
        <w:t>The IGF-I deficiency in CLD is thought to result primarily from the reduced synthetic capacity of the hepatocellular mass, combined with a decrease in GH receptors in the cirrhotic liver (Donaghy et al., 2002).</w:t>
      </w:r>
    </w:p>
    <w:p w:rsidR="008F03B5" w:rsidRPr="00E2283E" w:rsidRDefault="008F03B5" w:rsidP="00E2283E">
      <w:pPr>
        <w:bidi w:val="0"/>
        <w:spacing w:after="0" w:line="360" w:lineRule="auto"/>
        <w:ind w:firstLine="425"/>
        <w:jc w:val="both"/>
        <w:rPr>
          <w:lang/>
        </w:rPr>
      </w:pPr>
      <w:r w:rsidRPr="00E2283E">
        <w:rPr>
          <w:lang/>
        </w:rPr>
        <w:t>Aim of the study</w:t>
      </w:r>
    </w:p>
    <w:p w:rsidR="008F03B5" w:rsidRPr="00E2283E" w:rsidRDefault="008F03B5" w:rsidP="00E2283E">
      <w:pPr>
        <w:numPr>
          <w:ilvl w:val="0"/>
          <w:numId w:val="1"/>
        </w:numPr>
        <w:tabs>
          <w:tab w:val="clear" w:pos="720"/>
        </w:tabs>
        <w:bidi w:val="0"/>
        <w:spacing w:after="0" w:line="360" w:lineRule="auto"/>
        <w:ind w:left="0" w:firstLine="425"/>
        <w:jc w:val="both"/>
        <w:rPr>
          <w:lang/>
        </w:rPr>
      </w:pPr>
      <w:r w:rsidRPr="00E2283E">
        <w:rPr>
          <w:lang/>
        </w:rPr>
        <w:t>To measure the level of IGF-1 in children with CLD and to identify the relation between its level and the degree of malnutrition and the degree of hepatic dysfunction.</w:t>
      </w:r>
    </w:p>
    <w:p w:rsidR="008F03B5" w:rsidRPr="00E2283E" w:rsidRDefault="008F03B5" w:rsidP="00E2283E">
      <w:pPr>
        <w:bidi w:val="0"/>
        <w:spacing w:after="0" w:line="360" w:lineRule="auto"/>
        <w:ind w:firstLine="425"/>
        <w:jc w:val="both"/>
        <w:rPr>
          <w:lang/>
        </w:rPr>
      </w:pPr>
      <w:r w:rsidRPr="00E2283E">
        <w:rPr>
          <w:lang/>
        </w:rPr>
        <w:t>Subjects and methods</w:t>
      </w:r>
    </w:p>
    <w:p w:rsidR="008F03B5" w:rsidRPr="00E2283E" w:rsidRDefault="008F03B5" w:rsidP="00E2283E">
      <w:pPr>
        <w:numPr>
          <w:ilvl w:val="0"/>
          <w:numId w:val="4"/>
        </w:numPr>
        <w:bidi w:val="0"/>
        <w:spacing w:after="0" w:line="360" w:lineRule="auto"/>
        <w:ind w:left="0" w:firstLine="425"/>
        <w:jc w:val="both"/>
        <w:rPr>
          <w:lang/>
        </w:rPr>
      </w:pPr>
      <w:r w:rsidRPr="00E2283E">
        <w:rPr>
          <w:lang/>
        </w:rPr>
        <w:t>Subjects</w:t>
      </w:r>
    </w:p>
    <w:p w:rsidR="008F03B5" w:rsidRPr="00E2283E" w:rsidRDefault="008F03B5" w:rsidP="00E2283E">
      <w:pPr>
        <w:numPr>
          <w:ilvl w:val="0"/>
          <w:numId w:val="4"/>
        </w:numPr>
        <w:bidi w:val="0"/>
        <w:spacing w:after="0" w:line="360" w:lineRule="auto"/>
        <w:ind w:left="0" w:firstLine="425"/>
        <w:jc w:val="both"/>
        <w:rPr>
          <w:lang/>
        </w:rPr>
      </w:pPr>
      <w:r w:rsidRPr="00E2283E">
        <w:rPr>
          <w:lang/>
        </w:rPr>
        <w:t>This is a cross- sectional case control study that included 50 children with CLD (25 males and 25 females) recruited from the outpatient clinic of pediatric hepatology and from the pediatric hepatology department of Pediatric Hospital, Cairo University in the period from April 2012 to April   2013. Their mean age was 2.05 years (ranged from 0.5 to 5.75 years). They were compared with an age and sex-matched normal healthy children (26 males and 24 females) attending the pediatric general clinics and pediatric emergency department, with   a mean age of 2.01 years (ranged from 0.5 to 5.83 years).</w:t>
      </w:r>
    </w:p>
    <w:p w:rsidR="008F03B5" w:rsidRPr="00E2283E" w:rsidRDefault="008F03B5" w:rsidP="00E2283E">
      <w:pPr>
        <w:bidi w:val="0"/>
        <w:spacing w:after="0" w:line="360" w:lineRule="auto"/>
        <w:ind w:firstLine="425"/>
        <w:jc w:val="both"/>
        <w:rPr>
          <w:lang/>
        </w:rPr>
      </w:pPr>
      <w:r w:rsidRPr="00E2283E">
        <w:rPr>
          <w:lang/>
        </w:rPr>
        <w:t>All the subjects met the inclusion and exclusion criteria mentioned below</w:t>
      </w:r>
    </w:p>
    <w:p w:rsidR="008F03B5" w:rsidRPr="00E2283E" w:rsidRDefault="008F03B5" w:rsidP="00E2283E">
      <w:pPr>
        <w:bidi w:val="0"/>
        <w:spacing w:after="0" w:line="360" w:lineRule="auto"/>
        <w:ind w:firstLine="425"/>
        <w:jc w:val="both"/>
        <w:outlineLvl w:val="0"/>
        <w:rPr>
          <w:lang/>
        </w:rPr>
      </w:pPr>
      <w:r w:rsidRPr="00E2283E">
        <w:rPr>
          <w:lang/>
        </w:rPr>
        <w:t xml:space="preserve"> Inclusion criteria:</w:t>
      </w:r>
    </w:p>
    <w:p w:rsidR="008F03B5" w:rsidRPr="00E2283E" w:rsidRDefault="008F03B5" w:rsidP="00E2283E">
      <w:pPr>
        <w:numPr>
          <w:ilvl w:val="0"/>
          <w:numId w:val="2"/>
        </w:numPr>
        <w:tabs>
          <w:tab w:val="clear" w:pos="502"/>
        </w:tabs>
        <w:bidi w:val="0"/>
        <w:spacing w:after="0" w:line="360" w:lineRule="auto"/>
        <w:ind w:left="0" w:firstLine="425"/>
        <w:jc w:val="both"/>
        <w:rPr>
          <w:lang/>
        </w:rPr>
      </w:pPr>
      <w:r w:rsidRPr="00E2283E">
        <w:rPr>
          <w:lang/>
        </w:rPr>
        <w:t>Children with chronic liver disease.</w:t>
      </w:r>
    </w:p>
    <w:p w:rsidR="008F03B5" w:rsidRPr="00E2283E" w:rsidRDefault="008F03B5" w:rsidP="00E2283E">
      <w:pPr>
        <w:numPr>
          <w:ilvl w:val="0"/>
          <w:numId w:val="2"/>
        </w:numPr>
        <w:tabs>
          <w:tab w:val="clear" w:pos="502"/>
        </w:tabs>
        <w:bidi w:val="0"/>
        <w:spacing w:after="0" w:line="360" w:lineRule="auto"/>
        <w:ind w:left="0" w:firstLine="425"/>
        <w:jc w:val="both"/>
        <w:rPr>
          <w:lang/>
        </w:rPr>
      </w:pPr>
      <w:r w:rsidRPr="00E2283E">
        <w:rPr>
          <w:lang/>
        </w:rPr>
        <w:t>Age range: 6 months to 6 years.</w:t>
      </w:r>
    </w:p>
    <w:p w:rsidR="008F03B5" w:rsidRPr="00E2283E" w:rsidRDefault="008F03B5" w:rsidP="00E2283E">
      <w:pPr>
        <w:numPr>
          <w:ilvl w:val="0"/>
          <w:numId w:val="2"/>
        </w:numPr>
        <w:tabs>
          <w:tab w:val="clear" w:pos="502"/>
        </w:tabs>
        <w:bidi w:val="0"/>
        <w:spacing w:after="0" w:line="360" w:lineRule="auto"/>
        <w:ind w:left="0" w:firstLine="425"/>
        <w:jc w:val="both"/>
        <w:rPr>
          <w:lang/>
        </w:rPr>
      </w:pPr>
      <w:r w:rsidRPr="00E2283E">
        <w:rPr>
          <w:lang/>
        </w:rPr>
        <w:t>Both sexes were included.</w:t>
      </w:r>
    </w:p>
    <w:p w:rsidR="008F03B5" w:rsidRPr="00E2283E" w:rsidRDefault="008F03B5" w:rsidP="00E2283E">
      <w:pPr>
        <w:bidi w:val="0"/>
        <w:spacing w:after="0" w:line="360" w:lineRule="auto"/>
        <w:ind w:firstLine="425"/>
        <w:jc w:val="both"/>
        <w:outlineLvl w:val="0"/>
        <w:rPr>
          <w:lang/>
        </w:rPr>
      </w:pPr>
      <w:r w:rsidRPr="00E2283E">
        <w:rPr>
          <w:lang/>
        </w:rPr>
        <w:t>Exclusion criteria:</w:t>
      </w:r>
    </w:p>
    <w:p w:rsidR="008F03B5" w:rsidRPr="00E2283E" w:rsidRDefault="008F03B5" w:rsidP="00E2283E">
      <w:pPr>
        <w:numPr>
          <w:ilvl w:val="0"/>
          <w:numId w:val="2"/>
        </w:numPr>
        <w:tabs>
          <w:tab w:val="clear" w:pos="502"/>
        </w:tabs>
        <w:bidi w:val="0"/>
        <w:spacing w:after="0" w:line="360" w:lineRule="auto"/>
        <w:ind w:left="0" w:firstLine="425"/>
        <w:jc w:val="both"/>
        <w:rPr>
          <w:lang/>
        </w:rPr>
      </w:pPr>
      <w:r w:rsidRPr="00E2283E">
        <w:rPr>
          <w:lang/>
        </w:rPr>
        <w:t>Associated chronic disease such as neurological, heart, or renal diseases.</w:t>
      </w:r>
    </w:p>
    <w:p w:rsidR="008F03B5" w:rsidRPr="00E2283E" w:rsidRDefault="008F03B5" w:rsidP="00E2283E">
      <w:pPr>
        <w:numPr>
          <w:ilvl w:val="0"/>
          <w:numId w:val="2"/>
        </w:numPr>
        <w:tabs>
          <w:tab w:val="clear" w:pos="502"/>
        </w:tabs>
        <w:bidi w:val="0"/>
        <w:spacing w:after="0" w:line="360" w:lineRule="auto"/>
        <w:ind w:left="0" w:firstLine="425"/>
        <w:jc w:val="both"/>
        <w:rPr>
          <w:lang/>
        </w:rPr>
      </w:pPr>
      <w:r w:rsidRPr="00E2283E">
        <w:rPr>
          <w:lang/>
        </w:rPr>
        <w:t>Children with diabetes mellitus.</w:t>
      </w:r>
    </w:p>
    <w:p w:rsidR="008F03B5" w:rsidRPr="00E2283E" w:rsidRDefault="008F03B5" w:rsidP="00E2283E">
      <w:pPr>
        <w:numPr>
          <w:ilvl w:val="0"/>
          <w:numId w:val="2"/>
        </w:numPr>
        <w:tabs>
          <w:tab w:val="clear" w:pos="502"/>
        </w:tabs>
        <w:bidi w:val="0"/>
        <w:spacing w:after="0" w:line="360" w:lineRule="auto"/>
        <w:ind w:left="0" w:firstLine="425"/>
        <w:jc w:val="both"/>
        <w:rPr>
          <w:lang/>
        </w:rPr>
      </w:pPr>
      <w:r w:rsidRPr="00E2283E">
        <w:rPr>
          <w:lang/>
        </w:rPr>
        <w:t>Age less than 6 months or more than 6 years.</w:t>
      </w:r>
    </w:p>
    <w:p w:rsidR="008F03B5" w:rsidRPr="00E2283E" w:rsidRDefault="008F03B5" w:rsidP="00E2283E">
      <w:pPr>
        <w:bidi w:val="0"/>
        <w:spacing w:before="120" w:after="0" w:line="360" w:lineRule="auto"/>
        <w:ind w:firstLine="425"/>
        <w:jc w:val="both"/>
        <w:rPr>
          <w:lang/>
        </w:rPr>
      </w:pPr>
      <w:r w:rsidRPr="00E2283E">
        <w:rPr>
          <w:lang/>
        </w:rPr>
        <w:t>Ethical Considerations</w:t>
      </w:r>
    </w:p>
    <w:p w:rsidR="008F03B5" w:rsidRPr="00E2283E" w:rsidRDefault="008F03B5" w:rsidP="00E2283E">
      <w:pPr>
        <w:autoSpaceDE w:val="0"/>
        <w:autoSpaceDN w:val="0"/>
        <w:bidi w:val="0"/>
        <w:adjustRightInd w:val="0"/>
        <w:spacing w:after="0" w:line="360" w:lineRule="auto"/>
        <w:ind w:firstLine="425"/>
        <w:jc w:val="both"/>
        <w:rPr>
          <w:lang/>
        </w:rPr>
      </w:pPr>
      <w:r w:rsidRPr="00E2283E">
        <w:rPr>
          <w:lang/>
        </w:rPr>
        <w:t>The parents were informed about the purpose of the study and cases were included in the study only after written consent was given by parents. The study protocol was approved by the Ethical Committee of the National Research Centre and the Institute of Postgraduate Childhood Medical Studies, Ain Shams University.</w:t>
      </w:r>
    </w:p>
    <w:p w:rsidR="008F03B5" w:rsidRPr="00E2283E" w:rsidRDefault="008F03B5" w:rsidP="00E2283E">
      <w:pPr>
        <w:numPr>
          <w:ilvl w:val="0"/>
          <w:numId w:val="4"/>
        </w:numPr>
        <w:bidi w:val="0"/>
        <w:spacing w:after="0" w:line="360" w:lineRule="auto"/>
        <w:ind w:left="0" w:firstLine="425"/>
        <w:jc w:val="both"/>
        <w:rPr>
          <w:lang/>
        </w:rPr>
      </w:pPr>
      <w:r w:rsidRPr="00E2283E">
        <w:rPr>
          <w:lang/>
        </w:rPr>
        <w:t>Methods</w:t>
      </w:r>
    </w:p>
    <w:p w:rsidR="008F03B5" w:rsidRPr="00E2283E" w:rsidRDefault="008F03B5" w:rsidP="00E2283E">
      <w:pPr>
        <w:spacing w:after="0" w:line="360" w:lineRule="auto"/>
        <w:ind w:firstLine="425"/>
        <w:jc w:val="both"/>
        <w:outlineLvl w:val="0"/>
        <w:rPr>
          <w:lang/>
        </w:rPr>
      </w:pPr>
      <w:r w:rsidRPr="00E2283E">
        <w:rPr>
          <w:lang/>
        </w:rPr>
        <w:t>All participating children were subjected to</w:t>
      </w:r>
    </w:p>
    <w:p w:rsidR="008F03B5" w:rsidRPr="00E2283E" w:rsidRDefault="008F03B5" w:rsidP="00E2283E">
      <w:pPr>
        <w:spacing w:after="0" w:line="360" w:lineRule="auto"/>
        <w:ind w:firstLine="425"/>
        <w:jc w:val="both"/>
        <w:outlineLvl w:val="0"/>
        <w:rPr>
          <w:lang/>
        </w:rPr>
      </w:pPr>
      <w:r w:rsidRPr="00E2283E">
        <w:rPr>
          <w:lang/>
        </w:rPr>
        <w:t>History taking: This include: age, sex, age at onset of the liver disease, symptoms of liver cell failure.</w:t>
      </w:r>
    </w:p>
    <w:p w:rsidR="008F03B5" w:rsidRPr="00E2283E" w:rsidRDefault="008F03B5" w:rsidP="00E2283E">
      <w:pPr>
        <w:numPr>
          <w:ilvl w:val="0"/>
          <w:numId w:val="6"/>
        </w:numPr>
        <w:tabs>
          <w:tab w:val="clear" w:pos="360"/>
        </w:tabs>
        <w:bidi w:val="0"/>
        <w:spacing w:after="0" w:line="360" w:lineRule="auto"/>
        <w:ind w:left="0" w:firstLine="425"/>
        <w:jc w:val="both"/>
        <w:rPr>
          <w:lang/>
        </w:rPr>
      </w:pPr>
      <w:r w:rsidRPr="00E2283E">
        <w:rPr>
          <w:lang/>
        </w:rPr>
        <w:t xml:space="preserve"> Physical examination: involved</w:t>
      </w:r>
    </w:p>
    <w:p w:rsidR="008F03B5" w:rsidRPr="00E2283E" w:rsidRDefault="008F03B5" w:rsidP="00E2283E">
      <w:pPr>
        <w:numPr>
          <w:ilvl w:val="0"/>
          <w:numId w:val="3"/>
        </w:numPr>
        <w:bidi w:val="0"/>
        <w:spacing w:after="0" w:line="360" w:lineRule="auto"/>
        <w:ind w:left="0" w:firstLine="425"/>
        <w:jc w:val="both"/>
        <w:rPr>
          <w:lang/>
        </w:rPr>
      </w:pPr>
      <w:r w:rsidRPr="00E2283E">
        <w:rPr>
          <w:lang/>
        </w:rPr>
        <w:t>General examination: Head, neck, limbs, skin, back, spine, and genitalia.</w:t>
      </w:r>
    </w:p>
    <w:p w:rsidR="008F03B5" w:rsidRPr="00E2283E" w:rsidRDefault="008F03B5" w:rsidP="00E2283E">
      <w:pPr>
        <w:numPr>
          <w:ilvl w:val="0"/>
          <w:numId w:val="3"/>
        </w:numPr>
        <w:bidi w:val="0"/>
        <w:spacing w:after="0" w:line="360" w:lineRule="auto"/>
        <w:ind w:left="0" w:firstLine="425"/>
        <w:jc w:val="both"/>
        <w:rPr>
          <w:lang/>
        </w:rPr>
      </w:pPr>
      <w:r w:rsidRPr="00E2283E">
        <w:rPr>
          <w:lang/>
        </w:rPr>
        <w:t>Systemic examination: (Neurological, cardiovascular, chest, abdominal examination) to identify level of consciousness, signs of liver cell failure, organomegaly, ascites, and to exclude associated chronic diseases such as neurological, heart, or renal diseases.</w:t>
      </w:r>
    </w:p>
    <w:p w:rsidR="008F03B5" w:rsidRPr="00E2283E" w:rsidRDefault="008F03B5" w:rsidP="00E2283E">
      <w:pPr>
        <w:numPr>
          <w:ilvl w:val="0"/>
          <w:numId w:val="3"/>
        </w:numPr>
        <w:bidi w:val="0"/>
        <w:spacing w:after="0" w:line="360" w:lineRule="auto"/>
        <w:ind w:left="0" w:firstLine="425"/>
        <w:jc w:val="both"/>
        <w:rPr>
          <w:lang/>
        </w:rPr>
      </w:pPr>
      <w:r w:rsidRPr="00E2283E">
        <w:rPr>
          <w:lang/>
        </w:rPr>
        <w:t>Anthropometric assessment:</w:t>
      </w:r>
    </w:p>
    <w:p w:rsidR="008F03B5" w:rsidRPr="00E2283E" w:rsidRDefault="008F03B5" w:rsidP="00E2283E">
      <w:pPr>
        <w:bidi w:val="0"/>
        <w:spacing w:after="0" w:line="360" w:lineRule="auto"/>
        <w:ind w:firstLine="425"/>
        <w:jc w:val="both"/>
        <w:rPr>
          <w:lang/>
        </w:rPr>
      </w:pPr>
      <w:r w:rsidRPr="00E2283E">
        <w:rPr>
          <w:lang/>
        </w:rPr>
        <w:t>Anthropometric assessment was performed using standardized equipments, and following the recommendations of the International Biological Program (Tanner et al., 1969). All bilateral measurements were taken on the left side. Three consecutive measurements were taken and when the differences between the readings were acceptable the mean was recorded.</w:t>
      </w:r>
    </w:p>
    <w:p w:rsidR="008F03B5" w:rsidRPr="00E2283E" w:rsidRDefault="008F03B5" w:rsidP="00E2283E">
      <w:pPr>
        <w:autoSpaceDE w:val="0"/>
        <w:autoSpaceDN w:val="0"/>
        <w:bidi w:val="0"/>
        <w:adjustRightInd w:val="0"/>
        <w:spacing w:after="0" w:line="360" w:lineRule="auto"/>
        <w:ind w:firstLine="425"/>
        <w:jc w:val="both"/>
        <w:rPr>
          <w:lang/>
        </w:rPr>
      </w:pPr>
      <w:r w:rsidRPr="00E2283E">
        <w:rPr>
          <w:lang/>
        </w:rPr>
        <w:t>Body weight (Kg):  Children &lt; 2 years old were weighed on Seca scale. While children ≥ 2 years of age were weighed while standing on a digital platform scale. Subjects were measured without shoes and minimal clothing. The measure was recorded to the nearest 0.1 kg.</w:t>
      </w:r>
    </w:p>
    <w:p w:rsidR="008F03B5" w:rsidRPr="00E2283E" w:rsidRDefault="008F03B5" w:rsidP="00E2283E">
      <w:pPr>
        <w:autoSpaceDE w:val="0"/>
        <w:autoSpaceDN w:val="0"/>
        <w:bidi w:val="0"/>
        <w:adjustRightInd w:val="0"/>
        <w:spacing w:after="0" w:line="360" w:lineRule="auto"/>
        <w:ind w:firstLine="425"/>
        <w:jc w:val="both"/>
        <w:rPr>
          <w:lang/>
        </w:rPr>
      </w:pPr>
      <w:r w:rsidRPr="00E2283E">
        <w:rPr>
          <w:lang/>
        </w:rPr>
        <w:t>Body length (cm) (for children &lt;3 years of age): Length was measured and recorded to the nearest 0.1 cm in a recumbent position using an infantometer. The assistant held the child’s head in firm contact with the headboard, so that the Frankfurt plane is vertical. At the same time the legs are straightened, holding the feet with toes pointed up and moving the footboard against the feet.</w:t>
      </w:r>
    </w:p>
    <w:p w:rsidR="008F03B5" w:rsidRPr="00E2283E" w:rsidRDefault="008F03B5" w:rsidP="00E2283E">
      <w:pPr>
        <w:autoSpaceDE w:val="0"/>
        <w:autoSpaceDN w:val="0"/>
        <w:bidi w:val="0"/>
        <w:adjustRightInd w:val="0"/>
        <w:spacing w:after="0" w:line="360" w:lineRule="auto"/>
        <w:ind w:firstLine="425"/>
        <w:jc w:val="both"/>
        <w:rPr>
          <w:lang/>
        </w:rPr>
      </w:pPr>
      <w:r w:rsidRPr="00E2283E">
        <w:rPr>
          <w:lang/>
        </w:rPr>
        <w:t>Height (cm) (for children &gt;3 years): Height was measured and recorded to the nearest 0.1 cm using a standiometer with a movable block. The subjects were measured while standing, without shoes, with their heels together and back as straight as possible and arms hanging freely; the head was positioned in the Frankfort horizontal plane and the movable block was brought down until it touched the subject’s head.</w:t>
      </w:r>
    </w:p>
    <w:p w:rsidR="008F03B5" w:rsidRPr="00E2283E" w:rsidRDefault="008F03B5" w:rsidP="00E2283E">
      <w:pPr>
        <w:bidi w:val="0"/>
        <w:spacing w:after="0" w:line="360" w:lineRule="auto"/>
        <w:ind w:firstLine="425"/>
        <w:jc w:val="both"/>
        <w:rPr>
          <w:lang/>
        </w:rPr>
      </w:pPr>
      <w:r w:rsidRPr="00E2283E">
        <w:rPr>
          <w:lang/>
        </w:rPr>
        <w:t>Mid  upper arm circumference (MUAC) (cm): It was measured using  a flexible, non-stretchable measuring tape with the arm completely relaxed and the measurement was taken horizontally, midway between the inferior border of the acromion process and the tip of the olecranon process. The tape was just touching the skin but not compressing the tissue. The measure was taken to the nearest 0.1 cm.</w:t>
      </w:r>
    </w:p>
    <w:p w:rsidR="008F03B5" w:rsidRPr="00E2283E" w:rsidRDefault="008F03B5" w:rsidP="00E2283E">
      <w:pPr>
        <w:bidi w:val="0"/>
        <w:spacing w:after="0" w:line="360" w:lineRule="auto"/>
        <w:ind w:firstLine="425"/>
        <w:jc w:val="both"/>
        <w:rPr>
          <w:lang/>
        </w:rPr>
      </w:pPr>
      <w:r w:rsidRPr="00E2283E">
        <w:rPr>
          <w:lang/>
        </w:rPr>
        <w:t>Skin-fold thickness (mm): This was measured by using Holtain skin-fold caliper. The thumb and four fingers of the left hand picked up a fold of skin and subcutaneous tissue and pinched it away from the underlying muscle. Readings were taken to the nearest 0.2 mm as soon as the caliper came in contact with the skin and the dial reading stabilized.</w:t>
      </w:r>
    </w:p>
    <w:p w:rsidR="008F03B5" w:rsidRPr="00E2283E" w:rsidRDefault="008F03B5" w:rsidP="00E2283E">
      <w:pPr>
        <w:numPr>
          <w:ilvl w:val="0"/>
          <w:numId w:val="9"/>
        </w:numPr>
        <w:bidi w:val="0"/>
        <w:spacing w:after="0" w:line="360" w:lineRule="auto"/>
        <w:ind w:left="0" w:firstLine="425"/>
        <w:jc w:val="both"/>
        <w:rPr>
          <w:lang/>
        </w:rPr>
      </w:pPr>
      <w:r w:rsidRPr="00E2283E">
        <w:rPr>
          <w:lang/>
        </w:rPr>
        <w:t>Triceps skin-fold thickness (mm): The tips of the acromion process and olecranon were palpated, and a mark was made on the skin (a point midway between them and parallel to the long axis of the arm). Then the skin-fold was picked up between the index finger and the thumb of the left hand, over the posterior surface of the triceps muscle, one centimeter above the mark then the caliper jaws were applied.</w:t>
      </w:r>
    </w:p>
    <w:p w:rsidR="008F03B5" w:rsidRPr="00E2283E" w:rsidRDefault="008F03B5" w:rsidP="00E2283E">
      <w:pPr>
        <w:numPr>
          <w:ilvl w:val="0"/>
          <w:numId w:val="9"/>
        </w:numPr>
        <w:bidi w:val="0"/>
        <w:spacing w:after="0" w:line="360" w:lineRule="auto"/>
        <w:ind w:left="0" w:firstLine="425"/>
        <w:jc w:val="both"/>
        <w:rPr>
          <w:lang/>
        </w:rPr>
      </w:pPr>
      <w:r w:rsidRPr="00E2283E">
        <w:rPr>
          <w:lang/>
        </w:rPr>
        <w:t>Subscapular skinfold thickness (mm): The subject's shoulders were erect and the arm beside the body. The skinfold was picked up at the inferior angle of the scapula then the caliper jaws were applied.</w:t>
      </w:r>
    </w:p>
    <w:p w:rsidR="008F03B5" w:rsidRPr="00E2283E" w:rsidRDefault="008F03B5" w:rsidP="00E2283E">
      <w:pPr>
        <w:autoSpaceDE w:val="0"/>
        <w:autoSpaceDN w:val="0"/>
        <w:bidi w:val="0"/>
        <w:adjustRightInd w:val="0"/>
        <w:spacing w:after="0" w:line="360" w:lineRule="auto"/>
        <w:ind w:firstLine="425"/>
        <w:jc w:val="both"/>
        <w:rPr>
          <w:lang/>
        </w:rPr>
      </w:pPr>
      <w:r w:rsidRPr="00E2283E">
        <w:rPr>
          <w:lang/>
        </w:rPr>
        <w:t>Total upper arm area (TUAA), mid upper arm muscle area (MUAMA), and mid upper arm fat area (MUAFA) were calculated with MUAC and TSFT measurements according to the formulas described by Jeliffe (1963);  Gurney and  Jelliffe (1973); Sann et al. (1988) and  Frisancho (1990) and the results were expressed in square millimeters.</w:t>
      </w:r>
    </w:p>
    <w:p w:rsidR="008F03B5" w:rsidRPr="00E2283E" w:rsidRDefault="008F03B5" w:rsidP="00E2283E">
      <w:pPr>
        <w:numPr>
          <w:ilvl w:val="0"/>
          <w:numId w:val="10"/>
        </w:numPr>
        <w:autoSpaceDE w:val="0"/>
        <w:autoSpaceDN w:val="0"/>
        <w:bidi w:val="0"/>
        <w:adjustRightInd w:val="0"/>
        <w:spacing w:after="0" w:line="360" w:lineRule="auto"/>
        <w:ind w:left="0" w:firstLine="425"/>
        <w:jc w:val="both"/>
        <w:rPr>
          <w:lang/>
        </w:rPr>
      </w:pPr>
      <w:r w:rsidRPr="00E2283E">
        <w:rPr>
          <w:lang/>
        </w:rPr>
        <w:t xml:space="preserve">MUAMA (cm2) </w:t>
      </w:r>
      <w:r w:rsidRPr="00E2283E">
        <w:rPr>
          <w:rFonts w:cs="Calibri"/>
          <w:lang/>
        </w:rPr>
        <w:t></w:t>
      </w:r>
      <w:r w:rsidRPr="00E2283E">
        <w:rPr>
          <w:rFonts w:ascii="Arial" w:hAnsi="Arial"/>
          <w:lang/>
        </w:rPr>
        <w:t></w:t>
      </w:r>
      <w:r w:rsidRPr="00E2283E">
        <w:rPr>
          <w:lang/>
        </w:rPr>
        <w:t xml:space="preserve">(MUAC [cm] </w:t>
      </w:r>
      <w:r w:rsidRPr="00E2283E">
        <w:rPr>
          <w:rFonts w:ascii="Arial" w:hAnsi="Arial"/>
          <w:lang/>
        </w:rPr>
        <w:t></w:t>
      </w:r>
      <w:r w:rsidRPr="00E2283E">
        <w:rPr>
          <w:lang/>
        </w:rPr>
        <w:t xml:space="preserve"> [TSF </w:t>
      </w:r>
      <w:r w:rsidRPr="00E2283E">
        <w:rPr>
          <w:lang/>
        </w:rPr>
        <w:sym w:font="Symbol" w:char="F0B4"/>
      </w:r>
      <w:r w:rsidRPr="00E2283E">
        <w:rPr>
          <w:rFonts w:ascii="Arial" w:hAnsi="Arial"/>
          <w:lang/>
        </w:rPr>
        <w:t></w:t>
      </w:r>
      <w:r w:rsidRPr="00E2283E">
        <w:rPr>
          <w:lang/>
        </w:rPr>
        <w:sym w:font="Symbol" w:char="F070"/>
      </w:r>
      <w:r w:rsidRPr="00E2283E">
        <w:rPr>
          <w:lang/>
        </w:rPr>
        <w:t xml:space="preserve">])2/(4 </w:t>
      </w:r>
      <w:r w:rsidRPr="00E2283E">
        <w:rPr>
          <w:lang/>
        </w:rPr>
        <w:sym w:font="Symbol" w:char="F0B4"/>
      </w:r>
      <w:r w:rsidRPr="00E2283E">
        <w:rPr>
          <w:lang/>
        </w:rPr>
        <w:sym w:font="Symbol" w:char="F070"/>
      </w:r>
      <w:r w:rsidRPr="00E2283E">
        <w:rPr>
          <w:lang/>
        </w:rPr>
        <w:t>)</w:t>
      </w:r>
    </w:p>
    <w:p w:rsidR="008F03B5" w:rsidRPr="00E2283E" w:rsidRDefault="008F03B5" w:rsidP="00E2283E">
      <w:pPr>
        <w:numPr>
          <w:ilvl w:val="0"/>
          <w:numId w:val="10"/>
        </w:numPr>
        <w:autoSpaceDE w:val="0"/>
        <w:autoSpaceDN w:val="0"/>
        <w:bidi w:val="0"/>
        <w:adjustRightInd w:val="0"/>
        <w:spacing w:after="0" w:line="360" w:lineRule="auto"/>
        <w:ind w:left="0" w:firstLine="425"/>
        <w:jc w:val="both"/>
        <w:rPr>
          <w:lang/>
        </w:rPr>
      </w:pPr>
      <w:r w:rsidRPr="00E2283E">
        <w:rPr>
          <w:lang/>
        </w:rPr>
        <w:t xml:space="preserve">TUAA </w:t>
      </w:r>
      <w:r w:rsidRPr="00E2283E">
        <w:rPr>
          <w:rFonts w:cs="Calibri"/>
          <w:lang/>
        </w:rPr>
        <w:t></w:t>
      </w:r>
      <w:r w:rsidRPr="00E2283E">
        <w:rPr>
          <w:rFonts w:ascii="Arial" w:hAnsi="Arial"/>
          <w:lang/>
        </w:rPr>
        <w:t></w:t>
      </w:r>
      <w:r w:rsidRPr="00E2283E">
        <w:rPr>
          <w:lang/>
        </w:rPr>
        <w:t xml:space="preserve">(MUAC)2 (cm)/(4 </w:t>
      </w:r>
      <w:r w:rsidRPr="00E2283E">
        <w:rPr>
          <w:lang/>
        </w:rPr>
        <w:sym w:font="Symbol" w:char="F0B4"/>
      </w:r>
      <w:r w:rsidRPr="00E2283E">
        <w:rPr>
          <w:rFonts w:ascii="Arial" w:hAnsi="Arial"/>
          <w:lang/>
        </w:rPr>
        <w:t></w:t>
      </w:r>
      <w:r w:rsidRPr="00E2283E">
        <w:rPr>
          <w:lang/>
        </w:rPr>
        <w:sym w:font="Symbol" w:char="F070"/>
      </w:r>
      <w:r w:rsidRPr="00E2283E">
        <w:rPr>
          <w:lang/>
        </w:rPr>
        <w:t>)</w:t>
      </w:r>
    </w:p>
    <w:p w:rsidR="008F03B5" w:rsidRPr="00E2283E" w:rsidRDefault="008F03B5" w:rsidP="00E2283E">
      <w:pPr>
        <w:numPr>
          <w:ilvl w:val="0"/>
          <w:numId w:val="10"/>
        </w:numPr>
        <w:autoSpaceDE w:val="0"/>
        <w:autoSpaceDN w:val="0"/>
        <w:bidi w:val="0"/>
        <w:adjustRightInd w:val="0"/>
        <w:spacing w:after="0" w:line="360" w:lineRule="auto"/>
        <w:ind w:left="0" w:firstLine="425"/>
        <w:jc w:val="both"/>
        <w:rPr>
          <w:lang/>
        </w:rPr>
      </w:pPr>
      <w:r w:rsidRPr="00E2283E">
        <w:rPr>
          <w:lang/>
        </w:rPr>
        <w:t xml:space="preserve">MUAFA (cm2) </w:t>
      </w:r>
      <w:r w:rsidRPr="00E2283E">
        <w:rPr>
          <w:rFonts w:cs="Calibri"/>
          <w:lang/>
        </w:rPr>
        <w:t></w:t>
      </w:r>
      <w:r w:rsidRPr="00E2283E">
        <w:rPr>
          <w:rFonts w:ascii="Arial" w:hAnsi="Arial"/>
          <w:lang/>
        </w:rPr>
        <w:t></w:t>
      </w:r>
      <w:r w:rsidRPr="00E2283E">
        <w:rPr>
          <w:lang/>
        </w:rPr>
        <w:t xml:space="preserve">TUAA </w:t>
      </w:r>
      <w:r w:rsidRPr="00E2283E">
        <w:rPr>
          <w:rFonts w:ascii="Arial" w:hAnsi="Arial"/>
          <w:lang/>
        </w:rPr>
        <w:t></w:t>
      </w:r>
      <w:r w:rsidRPr="00E2283E">
        <w:rPr>
          <w:rFonts w:ascii="Arial" w:hAnsi="Arial"/>
          <w:lang/>
        </w:rPr>
        <w:t></w:t>
      </w:r>
      <w:r w:rsidRPr="00E2283E">
        <w:rPr>
          <w:lang/>
        </w:rPr>
        <w:t>MUAMA</w:t>
      </w:r>
    </w:p>
    <w:p w:rsidR="008F03B5" w:rsidRPr="00E2283E" w:rsidRDefault="008F03B5" w:rsidP="00E2283E">
      <w:pPr>
        <w:numPr>
          <w:ilvl w:val="0"/>
          <w:numId w:val="10"/>
        </w:numPr>
        <w:bidi w:val="0"/>
        <w:spacing w:line="360" w:lineRule="auto"/>
        <w:ind w:left="0" w:firstLine="425"/>
        <w:jc w:val="both"/>
        <w:rPr>
          <w:lang/>
        </w:rPr>
      </w:pPr>
      <w:r w:rsidRPr="00E2283E">
        <w:rPr>
          <w:lang/>
        </w:rPr>
        <w:t xml:space="preserve">AFI=100 </w:t>
      </w:r>
      <w:r w:rsidRPr="00E2283E">
        <w:rPr>
          <w:lang/>
        </w:rPr>
        <w:sym w:font="Symbol" w:char="F0B4"/>
      </w:r>
      <w:r w:rsidRPr="00E2283E">
        <w:rPr>
          <w:lang/>
        </w:rPr>
        <w:t xml:space="preserve"> (AFA/ TUAA)</w:t>
      </w:r>
    </w:p>
    <w:p w:rsidR="008F03B5" w:rsidRPr="00E2283E" w:rsidRDefault="008F03B5" w:rsidP="00E2283E">
      <w:pPr>
        <w:numPr>
          <w:ilvl w:val="0"/>
          <w:numId w:val="10"/>
        </w:numPr>
        <w:bidi w:val="0"/>
        <w:spacing w:line="360" w:lineRule="auto"/>
        <w:ind w:left="0" w:firstLine="425"/>
        <w:jc w:val="both"/>
        <w:rPr>
          <w:lang/>
        </w:rPr>
      </w:pPr>
      <w:r w:rsidRPr="00E2283E">
        <w:rPr>
          <w:lang/>
        </w:rPr>
        <w:t xml:space="preserve">Where </w:t>
      </w:r>
      <w:r w:rsidRPr="00E2283E">
        <w:rPr>
          <w:lang/>
        </w:rPr>
        <w:sym w:font="Symbol" w:char="F070"/>
      </w:r>
      <w:r w:rsidRPr="00E2283E">
        <w:rPr>
          <w:rFonts w:ascii="Arial" w:hAnsi="Arial"/>
          <w:lang/>
        </w:rPr>
        <w:t></w:t>
      </w:r>
      <w:r w:rsidRPr="00E2283E">
        <w:rPr>
          <w:rFonts w:cs="Calibri"/>
          <w:lang/>
        </w:rPr>
        <w:t></w:t>
      </w:r>
      <w:r w:rsidRPr="00E2283E">
        <w:rPr>
          <w:rFonts w:ascii="Arial" w:hAnsi="Arial"/>
          <w:lang/>
        </w:rPr>
        <w:t></w:t>
      </w:r>
      <w:r w:rsidRPr="00E2283E">
        <w:rPr>
          <w:lang/>
        </w:rPr>
        <w:t>3.14</w:t>
      </w:r>
    </w:p>
    <w:p w:rsidR="008F03B5" w:rsidRPr="00E2283E" w:rsidRDefault="008F03B5" w:rsidP="00E2283E">
      <w:pPr>
        <w:bidi w:val="0"/>
        <w:spacing w:after="0" w:line="360" w:lineRule="auto"/>
        <w:ind w:firstLine="425"/>
        <w:jc w:val="both"/>
        <w:rPr>
          <w:lang/>
        </w:rPr>
      </w:pPr>
      <w:r w:rsidRPr="00E2283E">
        <w:rPr>
          <w:lang/>
        </w:rPr>
        <w:t>The results of anthropometric data of these patients were compared with that obtained from the measurements on normal healthy Egyptian children (Egyptian Growth Charts, 2002). All anthropometric data were expressed in standard deviation score (z score) to allow comparison of data irrespective of age and sex. The calculation was made according to the following formula:</w:t>
      </w:r>
    </w:p>
    <w:p w:rsidR="008F03B5" w:rsidRPr="00E2283E" w:rsidRDefault="008F03B5" w:rsidP="00E2283E">
      <w:pPr>
        <w:bidi w:val="0"/>
        <w:spacing w:after="0" w:line="360" w:lineRule="auto"/>
        <w:ind w:firstLine="425"/>
        <w:jc w:val="both"/>
        <w:rPr>
          <w:lang/>
        </w:rPr>
      </w:pPr>
      <w:r w:rsidRPr="00E2283E">
        <w:rPr>
          <w:lang/>
        </w:rPr>
        <w:object w:dxaOrig="625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30.75pt" o:ole="">
            <v:imagedata r:id="rId15" o:title=""/>
          </v:shape>
          <o:OLEObject Type="Embed" ProgID="Equation.3" ShapeID="_x0000_i1025" DrawAspect="Content" ObjectID="_1445848151" r:id="rId16"/>
        </w:object>
      </w:r>
    </w:p>
    <w:p w:rsidR="008F03B5" w:rsidRPr="00E2283E" w:rsidRDefault="008F03B5" w:rsidP="00E2283E">
      <w:pPr>
        <w:numPr>
          <w:ilvl w:val="0"/>
          <w:numId w:val="7"/>
        </w:numPr>
        <w:tabs>
          <w:tab w:val="clear" w:pos="360"/>
        </w:tabs>
        <w:bidi w:val="0"/>
        <w:spacing w:after="0" w:line="360" w:lineRule="auto"/>
        <w:ind w:left="0" w:firstLine="425"/>
        <w:jc w:val="both"/>
        <w:rPr>
          <w:lang/>
        </w:rPr>
      </w:pPr>
      <w:r w:rsidRPr="00E2283E">
        <w:rPr>
          <w:lang/>
        </w:rPr>
        <w:t>Laboratory investigations:</w:t>
      </w:r>
    </w:p>
    <w:p w:rsidR="008F03B5" w:rsidRPr="00E2283E" w:rsidRDefault="008F03B5" w:rsidP="00E2283E">
      <w:pPr>
        <w:numPr>
          <w:ilvl w:val="0"/>
          <w:numId w:val="2"/>
        </w:numPr>
        <w:tabs>
          <w:tab w:val="clear" w:pos="502"/>
        </w:tabs>
        <w:autoSpaceDE w:val="0"/>
        <w:autoSpaceDN w:val="0"/>
        <w:bidi w:val="0"/>
        <w:adjustRightInd w:val="0"/>
        <w:spacing w:after="0" w:line="360" w:lineRule="auto"/>
        <w:ind w:left="0" w:firstLine="425"/>
        <w:jc w:val="both"/>
        <w:rPr>
          <w:lang/>
        </w:rPr>
      </w:pPr>
      <w:r w:rsidRPr="00E2283E">
        <w:rPr>
          <w:lang/>
        </w:rPr>
        <w:t>The following investigations were done: Aspartate aminotransferase (AST), alanine  aminotransferase (ALT),  gama glutamyltransferase (GGT),  alkaline phosphatase (ALP), serum albumin, serum bilirubin (total and direct), prothrombin time, and international normalized ratio (INR). Procedures: Venous blood samples (5mL) were withdrawn, 1mL was collected into heparinized tube for determination of prothrombin time. The rest of the sample was collected into plain tube and allowed to clot, and then serum was separated and stored at -20 °C until assayed by Hitachi automated chemical analyzer using commercially available kits according to the manufacturer’s instructions.</w:t>
      </w:r>
    </w:p>
    <w:p w:rsidR="008F03B5" w:rsidRPr="00E2283E" w:rsidRDefault="008F03B5" w:rsidP="00E2283E">
      <w:pPr>
        <w:numPr>
          <w:ilvl w:val="0"/>
          <w:numId w:val="2"/>
        </w:numPr>
        <w:tabs>
          <w:tab w:val="clear" w:pos="502"/>
        </w:tabs>
        <w:autoSpaceDE w:val="0"/>
        <w:autoSpaceDN w:val="0"/>
        <w:bidi w:val="0"/>
        <w:adjustRightInd w:val="0"/>
        <w:spacing w:after="0" w:line="360" w:lineRule="auto"/>
        <w:ind w:left="0" w:firstLine="425"/>
        <w:jc w:val="both"/>
        <w:rPr>
          <w:lang/>
        </w:rPr>
      </w:pPr>
      <w:r w:rsidRPr="00E2283E">
        <w:rPr>
          <w:lang/>
        </w:rPr>
        <w:t>Serum IGF-1 was measured using quantitative Enzyme-Linked Immuno-Sorbent Assay (ELISA) using commercial kit provided by DIAsource, Belgium  according to the manufacturer’s instructions.</w:t>
      </w:r>
    </w:p>
    <w:p w:rsidR="008F03B5" w:rsidRPr="00E2283E" w:rsidRDefault="008F03B5" w:rsidP="00E2283E">
      <w:pPr>
        <w:numPr>
          <w:ilvl w:val="0"/>
          <w:numId w:val="7"/>
        </w:numPr>
        <w:tabs>
          <w:tab w:val="clear" w:pos="360"/>
        </w:tabs>
        <w:bidi w:val="0"/>
        <w:spacing w:after="0" w:line="360" w:lineRule="auto"/>
        <w:ind w:left="0" w:firstLine="425"/>
        <w:jc w:val="both"/>
        <w:rPr>
          <w:lang/>
        </w:rPr>
      </w:pPr>
      <w:r w:rsidRPr="00E2283E">
        <w:rPr>
          <w:lang/>
        </w:rPr>
        <w:t>Assessment of  the severity of liver disease: : It was done using Modified Child-Pugh score which classifies severity of liver disease according to the degree of ascites, the plasma concentrations of bilirubin and albumin, the prothrombin time, and the degree of encephalopathy .</w:t>
      </w:r>
    </w:p>
    <w:p w:rsidR="008F03B5" w:rsidRPr="00E2283E" w:rsidRDefault="008F03B5" w:rsidP="00E2283E">
      <w:pPr>
        <w:autoSpaceDE w:val="0"/>
        <w:autoSpaceDN w:val="0"/>
        <w:bidi w:val="0"/>
        <w:adjustRightInd w:val="0"/>
        <w:spacing w:after="0" w:line="360" w:lineRule="auto"/>
        <w:ind w:firstLine="425"/>
        <w:jc w:val="both"/>
        <w:rPr>
          <w:lang/>
        </w:rPr>
      </w:pPr>
      <w:r w:rsidRPr="00E2283E">
        <w:rPr>
          <w:lang/>
        </w:rPr>
        <w:t>Table (1): Modified Child-Pugh score</w:t>
      </w:r>
    </w:p>
    <w:tbl>
      <w:tblPr>
        <w:bidiVisual/>
        <w:tblW w:w="8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15"/>
        <w:gridCol w:w="2015"/>
        <w:gridCol w:w="1284"/>
        <w:gridCol w:w="3190"/>
      </w:tblGrid>
      <w:tr w:rsidR="008F03B5" w:rsidRPr="00E2283E" w:rsidTr="00E2283E">
        <w:trPr>
          <w:jc w:val="center"/>
        </w:trPr>
        <w:tc>
          <w:tcPr>
            <w:tcW w:w="0" w:type="auto"/>
            <w:gridSpan w:val="3"/>
          </w:tcPr>
          <w:p w:rsidR="008F03B5" w:rsidRPr="00E2283E" w:rsidRDefault="008F03B5" w:rsidP="00E2283E">
            <w:pPr>
              <w:rPr>
                <w:lang/>
              </w:rPr>
            </w:pPr>
            <w:r w:rsidRPr="00E2283E">
              <w:rPr>
                <w:lang/>
              </w:rPr>
              <w:t>Points Assigned</w:t>
            </w:r>
          </w:p>
        </w:tc>
        <w:tc>
          <w:tcPr>
            <w:tcW w:w="0" w:type="auto"/>
            <w:vMerge w:val="restart"/>
          </w:tcPr>
          <w:p w:rsidR="008F03B5" w:rsidRPr="00E2283E" w:rsidRDefault="008F03B5" w:rsidP="00E2283E">
            <w:pPr>
              <w:rPr>
                <w:lang/>
              </w:rPr>
            </w:pPr>
            <w:r w:rsidRPr="00E2283E">
              <w:rPr>
                <w:lang/>
              </w:rPr>
              <w:t>Parameter</w:t>
            </w:r>
          </w:p>
        </w:tc>
      </w:tr>
      <w:tr w:rsidR="008F03B5" w:rsidRPr="00E2283E" w:rsidTr="00E2283E">
        <w:trPr>
          <w:jc w:val="center"/>
        </w:trPr>
        <w:tc>
          <w:tcPr>
            <w:tcW w:w="0" w:type="auto"/>
          </w:tcPr>
          <w:p w:rsidR="008F03B5" w:rsidRPr="00E2283E" w:rsidRDefault="008F03B5" w:rsidP="00E2283E">
            <w:pPr>
              <w:rPr>
                <w:lang/>
              </w:rPr>
            </w:pPr>
            <w:r w:rsidRPr="00E2283E">
              <w:rPr>
                <w:lang/>
              </w:rPr>
              <w:t>3</w:t>
            </w:r>
          </w:p>
        </w:tc>
        <w:tc>
          <w:tcPr>
            <w:tcW w:w="0" w:type="auto"/>
          </w:tcPr>
          <w:p w:rsidR="008F03B5" w:rsidRPr="00E2283E" w:rsidRDefault="008F03B5" w:rsidP="00E2283E">
            <w:pPr>
              <w:rPr>
                <w:lang/>
              </w:rPr>
            </w:pPr>
            <w:r w:rsidRPr="00E2283E">
              <w:rPr>
                <w:lang/>
              </w:rPr>
              <w:t>2</w:t>
            </w:r>
          </w:p>
        </w:tc>
        <w:tc>
          <w:tcPr>
            <w:tcW w:w="0" w:type="auto"/>
          </w:tcPr>
          <w:p w:rsidR="008F03B5" w:rsidRPr="00E2283E" w:rsidRDefault="008F03B5" w:rsidP="00E2283E">
            <w:pPr>
              <w:rPr>
                <w:lang/>
              </w:rPr>
            </w:pPr>
            <w:r w:rsidRPr="00E2283E">
              <w:rPr>
                <w:lang/>
              </w:rPr>
              <w:t>1</w:t>
            </w:r>
          </w:p>
        </w:tc>
        <w:tc>
          <w:tcPr>
            <w:tcW w:w="0" w:type="auto"/>
            <w:vMerge/>
          </w:tcPr>
          <w:p w:rsidR="008F03B5" w:rsidRPr="00E2283E" w:rsidRDefault="008F03B5" w:rsidP="00E2283E">
            <w:pPr>
              <w:rPr>
                <w:lang/>
              </w:rPr>
            </w:pPr>
          </w:p>
        </w:tc>
      </w:tr>
      <w:tr w:rsidR="008F03B5" w:rsidRPr="00E2283E" w:rsidTr="00E2283E">
        <w:trPr>
          <w:jc w:val="center"/>
        </w:trPr>
        <w:tc>
          <w:tcPr>
            <w:tcW w:w="0" w:type="auto"/>
          </w:tcPr>
          <w:p w:rsidR="008F03B5" w:rsidRPr="00E2283E" w:rsidRDefault="008F03B5" w:rsidP="00E2283E">
            <w:pPr>
              <w:rPr>
                <w:lang/>
              </w:rPr>
            </w:pPr>
            <w:r w:rsidRPr="00E2283E">
              <w:rPr>
                <w:lang/>
              </w:rPr>
              <w:t>Moderate</w:t>
            </w:r>
          </w:p>
        </w:tc>
        <w:tc>
          <w:tcPr>
            <w:tcW w:w="0" w:type="auto"/>
          </w:tcPr>
          <w:p w:rsidR="008F03B5" w:rsidRPr="00E2283E" w:rsidRDefault="008F03B5" w:rsidP="00E2283E">
            <w:pPr>
              <w:rPr>
                <w:lang/>
              </w:rPr>
            </w:pPr>
            <w:r w:rsidRPr="00E2283E">
              <w:rPr>
                <w:lang/>
              </w:rPr>
              <w:t>Slight</w:t>
            </w:r>
          </w:p>
        </w:tc>
        <w:tc>
          <w:tcPr>
            <w:tcW w:w="0" w:type="auto"/>
          </w:tcPr>
          <w:p w:rsidR="008F03B5" w:rsidRPr="00E2283E" w:rsidRDefault="008F03B5" w:rsidP="00E2283E">
            <w:pPr>
              <w:rPr>
                <w:lang/>
              </w:rPr>
            </w:pPr>
            <w:r w:rsidRPr="00E2283E">
              <w:rPr>
                <w:lang/>
              </w:rPr>
              <w:t>Absent</w:t>
            </w:r>
          </w:p>
        </w:tc>
        <w:tc>
          <w:tcPr>
            <w:tcW w:w="0" w:type="auto"/>
          </w:tcPr>
          <w:p w:rsidR="008F03B5" w:rsidRPr="00E2283E" w:rsidRDefault="008F03B5" w:rsidP="00E2283E">
            <w:pPr>
              <w:rPr>
                <w:lang/>
              </w:rPr>
            </w:pPr>
            <w:r w:rsidRPr="00E2283E">
              <w:rPr>
                <w:lang/>
              </w:rPr>
              <w:t>Ascites</w:t>
            </w:r>
          </w:p>
        </w:tc>
      </w:tr>
      <w:tr w:rsidR="008F03B5" w:rsidRPr="00E2283E" w:rsidTr="00E2283E">
        <w:trPr>
          <w:jc w:val="center"/>
        </w:trPr>
        <w:tc>
          <w:tcPr>
            <w:tcW w:w="0" w:type="auto"/>
          </w:tcPr>
          <w:p w:rsidR="008F03B5" w:rsidRPr="00E2283E" w:rsidRDefault="008F03B5" w:rsidP="00E2283E">
            <w:pPr>
              <w:rPr>
                <w:lang/>
              </w:rPr>
            </w:pPr>
            <w:r w:rsidRPr="00E2283E">
              <w:rPr>
                <w:lang/>
              </w:rPr>
              <w:t>&gt; 3</w:t>
            </w:r>
          </w:p>
        </w:tc>
        <w:tc>
          <w:tcPr>
            <w:tcW w:w="0" w:type="auto"/>
          </w:tcPr>
          <w:p w:rsidR="008F03B5" w:rsidRPr="00E2283E" w:rsidRDefault="008F03B5" w:rsidP="00E2283E">
            <w:pPr>
              <w:rPr>
                <w:lang/>
              </w:rPr>
            </w:pPr>
            <w:r w:rsidRPr="00E2283E">
              <w:rPr>
                <w:lang/>
              </w:rPr>
              <w:t>2 to 3</w:t>
            </w:r>
          </w:p>
        </w:tc>
        <w:tc>
          <w:tcPr>
            <w:tcW w:w="0" w:type="auto"/>
          </w:tcPr>
          <w:p w:rsidR="008F03B5" w:rsidRPr="00E2283E" w:rsidRDefault="008F03B5" w:rsidP="00E2283E">
            <w:pPr>
              <w:rPr>
                <w:lang/>
              </w:rPr>
            </w:pPr>
            <w:r w:rsidRPr="00E2283E">
              <w:rPr>
                <w:lang/>
              </w:rPr>
              <w:t>&lt; 2</w:t>
            </w:r>
          </w:p>
        </w:tc>
        <w:tc>
          <w:tcPr>
            <w:tcW w:w="0" w:type="auto"/>
          </w:tcPr>
          <w:p w:rsidR="008F03B5" w:rsidRPr="00E2283E" w:rsidRDefault="008F03B5" w:rsidP="00E2283E">
            <w:pPr>
              <w:rPr>
                <w:lang/>
              </w:rPr>
            </w:pPr>
            <w:r w:rsidRPr="00E2283E">
              <w:rPr>
                <w:lang/>
              </w:rPr>
              <w:t>Bilirubin (mg/dL)</w:t>
            </w:r>
          </w:p>
        </w:tc>
      </w:tr>
      <w:tr w:rsidR="008F03B5" w:rsidRPr="00E2283E" w:rsidTr="00E2283E">
        <w:trPr>
          <w:jc w:val="center"/>
        </w:trPr>
        <w:tc>
          <w:tcPr>
            <w:tcW w:w="0" w:type="auto"/>
          </w:tcPr>
          <w:p w:rsidR="008F03B5" w:rsidRPr="00E2283E" w:rsidRDefault="008F03B5" w:rsidP="00E2283E">
            <w:pPr>
              <w:rPr>
                <w:lang/>
              </w:rPr>
            </w:pPr>
            <w:r w:rsidRPr="00E2283E">
              <w:rPr>
                <w:lang/>
              </w:rPr>
              <w:t>&lt; 2.8</w:t>
            </w:r>
          </w:p>
        </w:tc>
        <w:tc>
          <w:tcPr>
            <w:tcW w:w="0" w:type="auto"/>
          </w:tcPr>
          <w:p w:rsidR="008F03B5" w:rsidRPr="00E2283E" w:rsidRDefault="008F03B5" w:rsidP="00E2283E">
            <w:pPr>
              <w:rPr>
                <w:lang/>
              </w:rPr>
            </w:pPr>
            <w:r w:rsidRPr="00E2283E">
              <w:rPr>
                <w:lang/>
              </w:rPr>
              <w:t>2.8 to 3.5</w:t>
            </w:r>
          </w:p>
        </w:tc>
        <w:tc>
          <w:tcPr>
            <w:tcW w:w="0" w:type="auto"/>
          </w:tcPr>
          <w:p w:rsidR="008F03B5" w:rsidRPr="00E2283E" w:rsidRDefault="008F03B5" w:rsidP="00E2283E">
            <w:pPr>
              <w:rPr>
                <w:lang/>
              </w:rPr>
            </w:pPr>
            <w:r w:rsidRPr="00E2283E">
              <w:rPr>
                <w:lang/>
              </w:rPr>
              <w:t>&gt; 3.5</w:t>
            </w:r>
          </w:p>
        </w:tc>
        <w:tc>
          <w:tcPr>
            <w:tcW w:w="0" w:type="auto"/>
          </w:tcPr>
          <w:p w:rsidR="008F03B5" w:rsidRPr="00E2283E" w:rsidRDefault="008F03B5" w:rsidP="00E2283E">
            <w:pPr>
              <w:rPr>
                <w:lang/>
              </w:rPr>
            </w:pPr>
            <w:r w:rsidRPr="00E2283E">
              <w:rPr>
                <w:lang/>
              </w:rPr>
              <w:t>Albumin (g/dL)</w:t>
            </w:r>
          </w:p>
        </w:tc>
      </w:tr>
      <w:tr w:rsidR="008F03B5" w:rsidRPr="00E2283E" w:rsidTr="00E2283E">
        <w:trPr>
          <w:jc w:val="center"/>
        </w:trPr>
        <w:tc>
          <w:tcPr>
            <w:tcW w:w="0" w:type="auto"/>
            <w:gridSpan w:val="4"/>
          </w:tcPr>
          <w:p w:rsidR="008F03B5" w:rsidRPr="00E2283E" w:rsidRDefault="008F03B5" w:rsidP="00E2283E">
            <w:pPr>
              <w:rPr>
                <w:lang/>
              </w:rPr>
            </w:pPr>
            <w:r w:rsidRPr="00E2283E">
              <w:rPr>
                <w:lang/>
              </w:rPr>
              <w:t>Prothrombin Time</w:t>
            </w:r>
          </w:p>
        </w:tc>
      </w:tr>
      <w:tr w:rsidR="008F03B5" w:rsidRPr="00E2283E" w:rsidTr="00E2283E">
        <w:trPr>
          <w:jc w:val="center"/>
        </w:trPr>
        <w:tc>
          <w:tcPr>
            <w:tcW w:w="0" w:type="auto"/>
          </w:tcPr>
          <w:p w:rsidR="008F03B5" w:rsidRPr="00E2283E" w:rsidRDefault="008F03B5" w:rsidP="00E2283E">
            <w:pPr>
              <w:rPr>
                <w:lang/>
              </w:rPr>
            </w:pPr>
            <w:r w:rsidRPr="00E2283E">
              <w:rPr>
                <w:lang/>
              </w:rPr>
              <w:t>&gt;6</w:t>
            </w:r>
          </w:p>
        </w:tc>
        <w:tc>
          <w:tcPr>
            <w:tcW w:w="0" w:type="auto"/>
          </w:tcPr>
          <w:p w:rsidR="008F03B5" w:rsidRPr="00E2283E" w:rsidRDefault="008F03B5" w:rsidP="00E2283E">
            <w:pPr>
              <w:rPr>
                <w:lang/>
              </w:rPr>
            </w:pPr>
            <w:r w:rsidRPr="00E2283E">
              <w:rPr>
                <w:lang/>
              </w:rPr>
              <w:t>4 to 6</w:t>
            </w:r>
          </w:p>
        </w:tc>
        <w:tc>
          <w:tcPr>
            <w:tcW w:w="0" w:type="auto"/>
          </w:tcPr>
          <w:p w:rsidR="008F03B5" w:rsidRPr="00E2283E" w:rsidRDefault="008F03B5" w:rsidP="00E2283E">
            <w:pPr>
              <w:rPr>
                <w:lang/>
              </w:rPr>
            </w:pPr>
            <w:r w:rsidRPr="00E2283E">
              <w:rPr>
                <w:lang/>
              </w:rPr>
              <w:t>1 to 3</w:t>
            </w:r>
          </w:p>
        </w:tc>
        <w:tc>
          <w:tcPr>
            <w:tcW w:w="0" w:type="auto"/>
          </w:tcPr>
          <w:p w:rsidR="008F03B5" w:rsidRPr="00E2283E" w:rsidRDefault="008F03B5" w:rsidP="00E2283E">
            <w:pPr>
              <w:rPr>
                <w:lang/>
              </w:rPr>
            </w:pPr>
            <w:r w:rsidRPr="00E2283E">
              <w:rPr>
                <w:lang/>
              </w:rPr>
              <w:t>Seconds over control</w:t>
            </w:r>
          </w:p>
        </w:tc>
      </w:tr>
      <w:tr w:rsidR="008F03B5" w:rsidRPr="00E2283E" w:rsidTr="00E2283E">
        <w:trPr>
          <w:jc w:val="center"/>
        </w:trPr>
        <w:tc>
          <w:tcPr>
            <w:tcW w:w="0" w:type="auto"/>
          </w:tcPr>
          <w:p w:rsidR="008F03B5" w:rsidRPr="00E2283E" w:rsidRDefault="008F03B5" w:rsidP="00E2283E">
            <w:pPr>
              <w:rPr>
                <w:lang/>
              </w:rPr>
            </w:pPr>
            <w:r w:rsidRPr="00E2283E">
              <w:rPr>
                <w:lang/>
              </w:rPr>
              <w:t>&gt; 2.3</w:t>
            </w:r>
          </w:p>
        </w:tc>
        <w:tc>
          <w:tcPr>
            <w:tcW w:w="0" w:type="auto"/>
          </w:tcPr>
          <w:p w:rsidR="008F03B5" w:rsidRPr="00E2283E" w:rsidRDefault="008F03B5" w:rsidP="00E2283E">
            <w:pPr>
              <w:rPr>
                <w:lang/>
              </w:rPr>
            </w:pPr>
            <w:r w:rsidRPr="00E2283E">
              <w:rPr>
                <w:lang/>
              </w:rPr>
              <w:t>1.8 to 2.3</w:t>
            </w:r>
          </w:p>
        </w:tc>
        <w:tc>
          <w:tcPr>
            <w:tcW w:w="0" w:type="auto"/>
          </w:tcPr>
          <w:p w:rsidR="008F03B5" w:rsidRPr="00E2283E" w:rsidRDefault="008F03B5" w:rsidP="00E2283E">
            <w:pPr>
              <w:rPr>
                <w:lang/>
              </w:rPr>
            </w:pPr>
            <w:r w:rsidRPr="00E2283E">
              <w:rPr>
                <w:lang/>
              </w:rPr>
              <w:t>&lt; 1.7</w:t>
            </w:r>
          </w:p>
        </w:tc>
        <w:tc>
          <w:tcPr>
            <w:tcW w:w="0" w:type="auto"/>
          </w:tcPr>
          <w:p w:rsidR="008F03B5" w:rsidRPr="00E2283E" w:rsidRDefault="008F03B5" w:rsidP="00E2283E">
            <w:pPr>
              <w:rPr>
                <w:lang/>
              </w:rPr>
            </w:pPr>
            <w:r w:rsidRPr="00E2283E">
              <w:rPr>
                <w:lang/>
              </w:rPr>
              <w:t>INR</w:t>
            </w:r>
          </w:p>
        </w:tc>
      </w:tr>
      <w:tr w:rsidR="008F03B5" w:rsidRPr="00E2283E" w:rsidTr="00E2283E">
        <w:trPr>
          <w:jc w:val="center"/>
        </w:trPr>
        <w:tc>
          <w:tcPr>
            <w:tcW w:w="0" w:type="auto"/>
          </w:tcPr>
          <w:p w:rsidR="008F03B5" w:rsidRPr="00E2283E" w:rsidRDefault="008F03B5" w:rsidP="00E2283E">
            <w:pPr>
              <w:rPr>
                <w:lang/>
              </w:rPr>
            </w:pPr>
            <w:r w:rsidRPr="00E2283E">
              <w:rPr>
                <w:lang/>
              </w:rPr>
              <w:t>Grade 3 to 4</w:t>
            </w:r>
          </w:p>
        </w:tc>
        <w:tc>
          <w:tcPr>
            <w:tcW w:w="0" w:type="auto"/>
          </w:tcPr>
          <w:p w:rsidR="008F03B5" w:rsidRPr="00E2283E" w:rsidRDefault="008F03B5" w:rsidP="00E2283E">
            <w:pPr>
              <w:rPr>
                <w:lang/>
              </w:rPr>
            </w:pPr>
            <w:r w:rsidRPr="00E2283E">
              <w:rPr>
                <w:lang/>
              </w:rPr>
              <w:t>Grade 1 to 2</w:t>
            </w:r>
          </w:p>
        </w:tc>
        <w:tc>
          <w:tcPr>
            <w:tcW w:w="0" w:type="auto"/>
          </w:tcPr>
          <w:p w:rsidR="008F03B5" w:rsidRPr="00E2283E" w:rsidRDefault="008F03B5" w:rsidP="00E2283E">
            <w:pPr>
              <w:rPr>
                <w:lang/>
              </w:rPr>
            </w:pPr>
            <w:r w:rsidRPr="00E2283E">
              <w:rPr>
                <w:lang/>
              </w:rPr>
              <w:t>None</w:t>
            </w:r>
          </w:p>
        </w:tc>
        <w:tc>
          <w:tcPr>
            <w:tcW w:w="0" w:type="auto"/>
          </w:tcPr>
          <w:p w:rsidR="008F03B5" w:rsidRPr="00E2283E" w:rsidRDefault="008F03B5" w:rsidP="00E2283E">
            <w:pPr>
              <w:rPr>
                <w:lang/>
              </w:rPr>
            </w:pPr>
            <w:r w:rsidRPr="00E2283E">
              <w:rPr>
                <w:lang/>
              </w:rPr>
              <w:t>Encephalopathy</w:t>
            </w:r>
          </w:p>
        </w:tc>
      </w:tr>
    </w:tbl>
    <w:p w:rsidR="008F03B5" w:rsidRPr="00E2283E" w:rsidRDefault="008F03B5" w:rsidP="00E2283E">
      <w:pPr>
        <w:bidi w:val="0"/>
        <w:spacing w:line="360" w:lineRule="auto"/>
        <w:ind w:firstLine="425"/>
        <w:jc w:val="both"/>
        <w:rPr>
          <w:lang/>
        </w:rPr>
      </w:pPr>
      <w:r w:rsidRPr="00E2283E">
        <w:rPr>
          <w:lang/>
        </w:rPr>
        <w:t>Patients were grouped into three categories: class A (well compensated disease, scores 5–6), class B (significant functional compromise, scores 7–9), and class C (decompensated disease, scores 10–15) (Pugh et al., 1973; Lucey et al., 1997).</w:t>
      </w:r>
    </w:p>
    <w:p w:rsidR="008F03B5" w:rsidRPr="00E2283E" w:rsidRDefault="008F03B5" w:rsidP="00E2283E">
      <w:pPr>
        <w:numPr>
          <w:ilvl w:val="0"/>
          <w:numId w:val="7"/>
        </w:numPr>
        <w:tabs>
          <w:tab w:val="clear" w:pos="360"/>
        </w:tabs>
        <w:bidi w:val="0"/>
        <w:spacing w:after="0" w:line="360" w:lineRule="auto"/>
        <w:ind w:left="0" w:firstLine="425"/>
        <w:jc w:val="both"/>
        <w:rPr>
          <w:lang/>
        </w:rPr>
      </w:pPr>
      <w:r w:rsidRPr="00E2283E">
        <w:rPr>
          <w:lang/>
        </w:rPr>
        <w:t>Statistical analysis</w:t>
      </w:r>
    </w:p>
    <w:p w:rsidR="008F03B5" w:rsidRPr="00E2283E" w:rsidRDefault="008F03B5" w:rsidP="00E2283E">
      <w:pPr>
        <w:numPr>
          <w:ilvl w:val="0"/>
          <w:numId w:val="7"/>
        </w:numPr>
        <w:tabs>
          <w:tab w:val="clear" w:pos="360"/>
        </w:tabs>
        <w:bidi w:val="0"/>
        <w:spacing w:after="0" w:line="360" w:lineRule="auto"/>
        <w:ind w:left="0" w:firstLine="425"/>
        <w:jc w:val="both"/>
        <w:rPr>
          <w:lang/>
        </w:rPr>
      </w:pPr>
      <w:r w:rsidRPr="00E2283E">
        <w:rPr>
          <w:lang/>
        </w:rPr>
        <w:t>Data analysis was assisted by SPSS (Statistical Package for Social Science) software version 16. Nominal and categorical data were expressed as frequency and percentage. Numerical data were expressed as mean, SD, median, minimum, and maximum. The difference between two groups was calculated using unpaired t-test, while the difference between more than two groups was calculated using one-way analysis of variance (ANOVA). Pearson's correlation was used to evaluate correlations between numerical variables. P value less than 0.05 was considered significant (Machin et al., 2007).</w:t>
      </w:r>
    </w:p>
    <w:p w:rsidR="008F03B5" w:rsidRPr="00E2283E" w:rsidRDefault="008F03B5" w:rsidP="00E2283E">
      <w:pPr>
        <w:bidi w:val="0"/>
        <w:spacing w:after="0" w:line="360" w:lineRule="auto"/>
        <w:ind w:firstLine="425"/>
        <w:jc w:val="both"/>
        <w:rPr>
          <w:lang/>
        </w:rPr>
      </w:pPr>
      <w:r w:rsidRPr="00E2283E">
        <w:rPr>
          <w:lang/>
        </w:rPr>
        <w:t>Results:</w:t>
      </w:r>
    </w:p>
    <w:p w:rsidR="008F03B5" w:rsidRPr="00E2283E" w:rsidRDefault="008F03B5" w:rsidP="00E2283E">
      <w:pPr>
        <w:bidi w:val="0"/>
        <w:spacing w:after="0" w:line="360" w:lineRule="auto"/>
        <w:ind w:firstLine="425"/>
        <w:jc w:val="both"/>
        <w:rPr>
          <w:lang/>
        </w:rPr>
      </w:pPr>
      <w:r w:rsidRPr="00E2283E">
        <w:rPr>
          <w:lang/>
        </w:rPr>
        <w:t>According to the degree of liver dysfunction (assessed by Child Pugh score) patients were divided into 3 groups (classes). It was found that 22 patients (44 %) were in grade A (well-compensated disease), 17 patients (34 %) were in grade B (significant functional compromise) and 11 patients  (22 %) were in grade C (decompensated disease).</w:t>
      </w:r>
    </w:p>
    <w:p w:rsidR="008F03B5" w:rsidRPr="00E2283E" w:rsidRDefault="008F03B5" w:rsidP="00E2283E">
      <w:pPr>
        <w:bidi w:val="0"/>
        <w:spacing w:after="0" w:line="360" w:lineRule="auto"/>
        <w:ind w:firstLine="425"/>
        <w:jc w:val="both"/>
        <w:rPr>
          <w:lang/>
        </w:rPr>
      </w:pPr>
      <w:r w:rsidRPr="00E2283E">
        <w:rPr>
          <w:lang/>
        </w:rPr>
        <w:t>Table (2) :Comparison of means of IGF-1 level between patient and control groups</w:t>
      </w:r>
    </w:p>
    <w:tbl>
      <w:tblPr>
        <w:tblW w:w="8504" w:type="dxa"/>
        <w:jc w:val="center"/>
        <w:tblLayout w:type="fixed"/>
        <w:tblLook w:val="00A0"/>
      </w:tblPr>
      <w:tblGrid>
        <w:gridCol w:w="1171"/>
        <w:gridCol w:w="972"/>
        <w:gridCol w:w="897"/>
        <w:gridCol w:w="650"/>
        <w:gridCol w:w="650"/>
        <w:gridCol w:w="1021"/>
        <w:gridCol w:w="1021"/>
        <w:gridCol w:w="650"/>
        <w:gridCol w:w="649"/>
        <w:gridCol w:w="823"/>
      </w:tblGrid>
      <w:tr w:rsidR="008F03B5" w:rsidRPr="00E2283E" w:rsidTr="00E2283E">
        <w:trPr>
          <w:trHeight w:val="300"/>
          <w:jc w:val="center"/>
        </w:trPr>
        <w:tc>
          <w:tcPr>
            <w:tcW w:w="1305" w:type="dxa"/>
            <w:vMerge w:val="restart"/>
            <w:tcBorders>
              <w:top w:val="single" w:sz="8" w:space="0" w:color="auto"/>
              <w:left w:val="single" w:sz="8" w:space="0" w:color="auto"/>
              <w:right w:val="single" w:sz="8" w:space="0" w:color="auto"/>
            </w:tcBorders>
            <w:noWrap/>
            <w:vAlign w:val="center"/>
          </w:tcPr>
          <w:p w:rsidR="008F03B5" w:rsidRPr="00E2283E" w:rsidRDefault="008F03B5" w:rsidP="00E2283E">
            <w:pPr>
              <w:rPr>
                <w:lang/>
              </w:rPr>
            </w:pPr>
          </w:p>
          <w:p w:rsidR="008F03B5" w:rsidRPr="00E2283E" w:rsidRDefault="008F03B5" w:rsidP="00E2283E">
            <w:pPr>
              <w:rPr>
                <w:lang/>
              </w:rPr>
            </w:pPr>
          </w:p>
        </w:tc>
        <w:tc>
          <w:tcPr>
            <w:tcW w:w="3488" w:type="dxa"/>
            <w:gridSpan w:val="4"/>
            <w:tcBorders>
              <w:top w:val="single" w:sz="8" w:space="0" w:color="auto"/>
              <w:left w:val="nil"/>
              <w:bottom w:val="single" w:sz="8" w:space="0" w:color="auto"/>
              <w:right w:val="single" w:sz="8" w:space="0" w:color="auto"/>
            </w:tcBorders>
            <w:noWrap/>
            <w:vAlign w:val="center"/>
          </w:tcPr>
          <w:p w:rsidR="008F03B5" w:rsidRPr="00E2283E" w:rsidRDefault="008F03B5" w:rsidP="00E2283E">
            <w:pPr>
              <w:rPr>
                <w:lang/>
              </w:rPr>
            </w:pPr>
            <w:r w:rsidRPr="00E2283E">
              <w:rPr>
                <w:lang/>
              </w:rPr>
              <w:t>Controls (n=50)</w:t>
            </w:r>
          </w:p>
        </w:tc>
        <w:tc>
          <w:tcPr>
            <w:tcW w:w="3685" w:type="dxa"/>
            <w:gridSpan w:val="4"/>
            <w:tcBorders>
              <w:top w:val="single" w:sz="8" w:space="0" w:color="auto"/>
              <w:left w:val="nil"/>
              <w:bottom w:val="single" w:sz="8" w:space="0" w:color="auto"/>
              <w:right w:val="single" w:sz="8" w:space="0" w:color="auto"/>
            </w:tcBorders>
            <w:noWrap/>
            <w:vAlign w:val="center"/>
          </w:tcPr>
          <w:p w:rsidR="008F03B5" w:rsidRPr="00E2283E" w:rsidRDefault="008F03B5" w:rsidP="00E2283E">
            <w:pPr>
              <w:rPr>
                <w:lang/>
              </w:rPr>
            </w:pPr>
            <w:r w:rsidRPr="00E2283E">
              <w:rPr>
                <w:lang/>
              </w:rPr>
              <w:t>Patients (n=50)</w:t>
            </w:r>
          </w:p>
        </w:tc>
        <w:tc>
          <w:tcPr>
            <w:tcW w:w="907" w:type="dxa"/>
            <w:vMerge w:val="restart"/>
            <w:tcBorders>
              <w:top w:val="single" w:sz="8" w:space="0" w:color="auto"/>
              <w:left w:val="nil"/>
              <w:right w:val="single" w:sz="8" w:space="0" w:color="auto"/>
            </w:tcBorders>
            <w:noWrap/>
            <w:vAlign w:val="center"/>
          </w:tcPr>
          <w:p w:rsidR="008F03B5" w:rsidRPr="00E2283E" w:rsidRDefault="008F03B5" w:rsidP="00E2283E">
            <w:pPr>
              <w:rPr>
                <w:lang/>
              </w:rPr>
            </w:pPr>
          </w:p>
          <w:p w:rsidR="008F03B5" w:rsidRPr="00E2283E" w:rsidRDefault="008F03B5" w:rsidP="00E2283E">
            <w:pPr>
              <w:rPr>
                <w:lang/>
              </w:rPr>
            </w:pPr>
            <w:r w:rsidRPr="00E2283E">
              <w:rPr>
                <w:lang/>
              </w:rPr>
              <w:t>P-value</w:t>
            </w:r>
          </w:p>
        </w:tc>
      </w:tr>
      <w:tr w:rsidR="008F03B5" w:rsidRPr="00E2283E" w:rsidTr="00E2283E">
        <w:trPr>
          <w:trHeight w:val="285"/>
          <w:jc w:val="center"/>
        </w:trPr>
        <w:tc>
          <w:tcPr>
            <w:tcW w:w="1305" w:type="dxa"/>
            <w:vMerge/>
            <w:tcBorders>
              <w:left w:val="single" w:sz="8" w:space="0" w:color="auto"/>
              <w:bottom w:val="single" w:sz="8" w:space="0" w:color="auto"/>
              <w:right w:val="single" w:sz="8" w:space="0" w:color="auto"/>
            </w:tcBorders>
            <w:vAlign w:val="center"/>
          </w:tcPr>
          <w:p w:rsidR="008F03B5" w:rsidRPr="00E2283E" w:rsidRDefault="008F03B5" w:rsidP="00E2283E">
            <w:pPr>
              <w:rPr>
                <w:lang/>
              </w:rPr>
            </w:pPr>
          </w:p>
        </w:tc>
        <w:tc>
          <w:tcPr>
            <w:tcW w:w="1078" w:type="dxa"/>
            <w:tcBorders>
              <w:top w:val="nil"/>
              <w:left w:val="nil"/>
              <w:bottom w:val="single" w:sz="8" w:space="0" w:color="auto"/>
              <w:right w:val="single" w:sz="8" w:space="0" w:color="auto"/>
            </w:tcBorders>
            <w:noWrap/>
            <w:vAlign w:val="center"/>
          </w:tcPr>
          <w:p w:rsidR="008F03B5" w:rsidRPr="00E2283E" w:rsidRDefault="008F03B5" w:rsidP="00E2283E">
            <w:pPr>
              <w:rPr>
                <w:lang/>
              </w:rPr>
            </w:pPr>
            <w:r w:rsidRPr="00E2283E">
              <w:rPr>
                <w:lang/>
              </w:rPr>
              <w:t>Mean ±  SD</w:t>
            </w:r>
          </w:p>
        </w:tc>
        <w:tc>
          <w:tcPr>
            <w:tcW w:w="992" w:type="dxa"/>
            <w:tcBorders>
              <w:top w:val="nil"/>
              <w:left w:val="nil"/>
              <w:bottom w:val="single" w:sz="8" w:space="0" w:color="auto"/>
              <w:right w:val="single" w:sz="8" w:space="0" w:color="auto"/>
            </w:tcBorders>
            <w:vAlign w:val="center"/>
          </w:tcPr>
          <w:p w:rsidR="008F03B5" w:rsidRPr="00E2283E" w:rsidRDefault="008F03B5" w:rsidP="00E2283E">
            <w:pPr>
              <w:rPr>
                <w:lang/>
              </w:rPr>
            </w:pPr>
            <w:r w:rsidRPr="00E2283E">
              <w:rPr>
                <w:lang/>
              </w:rPr>
              <w:t>Median</w:t>
            </w:r>
          </w:p>
        </w:tc>
        <w:tc>
          <w:tcPr>
            <w:tcW w:w="709" w:type="dxa"/>
            <w:tcBorders>
              <w:top w:val="nil"/>
              <w:left w:val="nil"/>
              <w:bottom w:val="single" w:sz="8" w:space="0" w:color="auto"/>
              <w:right w:val="single" w:sz="8" w:space="0" w:color="auto"/>
            </w:tcBorders>
            <w:noWrap/>
            <w:vAlign w:val="center"/>
          </w:tcPr>
          <w:p w:rsidR="008F03B5" w:rsidRPr="00E2283E" w:rsidRDefault="008F03B5" w:rsidP="00E2283E">
            <w:pPr>
              <w:rPr>
                <w:lang/>
              </w:rPr>
            </w:pPr>
            <w:r w:rsidRPr="00E2283E">
              <w:rPr>
                <w:lang/>
              </w:rPr>
              <w:t>Min</w:t>
            </w:r>
          </w:p>
        </w:tc>
        <w:tc>
          <w:tcPr>
            <w:tcW w:w="709" w:type="dxa"/>
            <w:tcBorders>
              <w:top w:val="nil"/>
              <w:left w:val="nil"/>
              <w:bottom w:val="single" w:sz="8" w:space="0" w:color="auto"/>
              <w:right w:val="single" w:sz="8" w:space="0" w:color="auto"/>
            </w:tcBorders>
            <w:noWrap/>
            <w:vAlign w:val="center"/>
          </w:tcPr>
          <w:p w:rsidR="008F03B5" w:rsidRPr="00E2283E" w:rsidRDefault="008F03B5" w:rsidP="00E2283E">
            <w:pPr>
              <w:rPr>
                <w:lang/>
              </w:rPr>
            </w:pPr>
            <w:r w:rsidRPr="00E2283E">
              <w:rPr>
                <w:lang/>
              </w:rPr>
              <w:t>Max</w:t>
            </w:r>
          </w:p>
        </w:tc>
        <w:tc>
          <w:tcPr>
            <w:tcW w:w="1134" w:type="dxa"/>
            <w:tcBorders>
              <w:top w:val="nil"/>
              <w:left w:val="nil"/>
              <w:bottom w:val="single" w:sz="8" w:space="0" w:color="auto"/>
              <w:right w:val="single" w:sz="8" w:space="0" w:color="auto"/>
            </w:tcBorders>
            <w:noWrap/>
            <w:vAlign w:val="center"/>
          </w:tcPr>
          <w:p w:rsidR="008F03B5" w:rsidRPr="00E2283E" w:rsidRDefault="008F03B5" w:rsidP="00E2283E">
            <w:pPr>
              <w:rPr>
                <w:lang/>
              </w:rPr>
            </w:pPr>
            <w:r w:rsidRPr="00E2283E">
              <w:rPr>
                <w:lang/>
              </w:rPr>
              <w:t>Mean ±  SD</w:t>
            </w:r>
          </w:p>
        </w:tc>
        <w:tc>
          <w:tcPr>
            <w:tcW w:w="1134" w:type="dxa"/>
            <w:tcBorders>
              <w:top w:val="nil"/>
              <w:left w:val="nil"/>
              <w:bottom w:val="single" w:sz="8" w:space="0" w:color="auto"/>
              <w:right w:val="single" w:sz="8" w:space="0" w:color="auto"/>
            </w:tcBorders>
            <w:vAlign w:val="center"/>
          </w:tcPr>
          <w:p w:rsidR="008F03B5" w:rsidRPr="00E2283E" w:rsidRDefault="008F03B5" w:rsidP="00E2283E">
            <w:pPr>
              <w:rPr>
                <w:lang/>
              </w:rPr>
            </w:pPr>
            <w:r w:rsidRPr="00E2283E">
              <w:rPr>
                <w:lang/>
              </w:rPr>
              <w:t>Median</w:t>
            </w:r>
          </w:p>
        </w:tc>
        <w:tc>
          <w:tcPr>
            <w:tcW w:w="709" w:type="dxa"/>
            <w:tcBorders>
              <w:top w:val="nil"/>
              <w:left w:val="nil"/>
              <w:bottom w:val="single" w:sz="8" w:space="0" w:color="auto"/>
              <w:right w:val="single" w:sz="8" w:space="0" w:color="auto"/>
            </w:tcBorders>
            <w:noWrap/>
            <w:vAlign w:val="center"/>
          </w:tcPr>
          <w:p w:rsidR="008F03B5" w:rsidRPr="00E2283E" w:rsidRDefault="008F03B5" w:rsidP="00E2283E">
            <w:pPr>
              <w:rPr>
                <w:lang/>
              </w:rPr>
            </w:pPr>
            <w:r w:rsidRPr="00E2283E">
              <w:rPr>
                <w:lang/>
              </w:rPr>
              <w:t>Min</w:t>
            </w:r>
          </w:p>
        </w:tc>
        <w:tc>
          <w:tcPr>
            <w:tcW w:w="708" w:type="dxa"/>
            <w:tcBorders>
              <w:top w:val="nil"/>
              <w:left w:val="nil"/>
              <w:bottom w:val="single" w:sz="8" w:space="0" w:color="auto"/>
              <w:right w:val="single" w:sz="8" w:space="0" w:color="auto"/>
            </w:tcBorders>
            <w:noWrap/>
            <w:vAlign w:val="center"/>
          </w:tcPr>
          <w:p w:rsidR="008F03B5" w:rsidRPr="00E2283E" w:rsidRDefault="008F03B5" w:rsidP="00E2283E">
            <w:pPr>
              <w:rPr>
                <w:lang/>
              </w:rPr>
            </w:pPr>
            <w:r w:rsidRPr="00E2283E">
              <w:rPr>
                <w:lang/>
              </w:rPr>
              <w:t>Max</w:t>
            </w:r>
          </w:p>
        </w:tc>
        <w:tc>
          <w:tcPr>
            <w:tcW w:w="907" w:type="dxa"/>
            <w:vMerge/>
            <w:tcBorders>
              <w:left w:val="nil"/>
              <w:bottom w:val="single" w:sz="8" w:space="0" w:color="auto"/>
              <w:right w:val="single" w:sz="8" w:space="0" w:color="auto"/>
            </w:tcBorders>
            <w:noWrap/>
            <w:vAlign w:val="center"/>
          </w:tcPr>
          <w:p w:rsidR="008F03B5" w:rsidRPr="00E2283E" w:rsidRDefault="008F03B5" w:rsidP="00E2283E">
            <w:pPr>
              <w:rPr>
                <w:lang/>
              </w:rPr>
            </w:pPr>
          </w:p>
        </w:tc>
      </w:tr>
      <w:tr w:rsidR="008F03B5" w:rsidRPr="00E2283E" w:rsidTr="00E2283E">
        <w:trPr>
          <w:trHeight w:val="300"/>
          <w:jc w:val="center"/>
        </w:trPr>
        <w:tc>
          <w:tcPr>
            <w:tcW w:w="1305" w:type="dxa"/>
            <w:tcBorders>
              <w:top w:val="nil"/>
              <w:left w:val="single" w:sz="8" w:space="0" w:color="auto"/>
              <w:bottom w:val="single" w:sz="8" w:space="0" w:color="auto"/>
              <w:right w:val="single" w:sz="8" w:space="0" w:color="auto"/>
            </w:tcBorders>
            <w:vAlign w:val="center"/>
          </w:tcPr>
          <w:p w:rsidR="008F03B5" w:rsidRPr="00E2283E" w:rsidRDefault="008F03B5" w:rsidP="00E2283E">
            <w:pPr>
              <w:rPr>
                <w:lang/>
              </w:rPr>
            </w:pPr>
            <w:r w:rsidRPr="00E2283E">
              <w:rPr>
                <w:lang/>
              </w:rPr>
              <w:t>IGF-1</w:t>
            </w:r>
          </w:p>
          <w:p w:rsidR="008F03B5" w:rsidRPr="00E2283E" w:rsidRDefault="008F03B5" w:rsidP="00E2283E">
            <w:pPr>
              <w:rPr>
                <w:lang/>
              </w:rPr>
            </w:pPr>
            <w:r w:rsidRPr="00E2283E">
              <w:rPr>
                <w:lang/>
              </w:rPr>
              <w:t>(ng/ml)</w:t>
            </w:r>
          </w:p>
        </w:tc>
        <w:tc>
          <w:tcPr>
            <w:tcW w:w="1078" w:type="dxa"/>
            <w:tcBorders>
              <w:top w:val="nil"/>
              <w:left w:val="nil"/>
              <w:bottom w:val="single" w:sz="8" w:space="0" w:color="auto"/>
              <w:right w:val="single" w:sz="8" w:space="0" w:color="auto"/>
            </w:tcBorders>
            <w:vAlign w:val="center"/>
          </w:tcPr>
          <w:p w:rsidR="008F03B5" w:rsidRPr="00E2283E" w:rsidRDefault="008F03B5" w:rsidP="00E2283E">
            <w:pPr>
              <w:rPr>
                <w:lang/>
              </w:rPr>
            </w:pPr>
            <w:r w:rsidRPr="00E2283E">
              <w:rPr>
                <w:lang/>
              </w:rPr>
              <w:t>40.76 ± 4.82</w:t>
            </w:r>
          </w:p>
        </w:tc>
        <w:tc>
          <w:tcPr>
            <w:tcW w:w="992" w:type="dxa"/>
            <w:tcBorders>
              <w:top w:val="nil"/>
              <w:left w:val="nil"/>
              <w:bottom w:val="single" w:sz="8" w:space="0" w:color="auto"/>
              <w:right w:val="single" w:sz="8" w:space="0" w:color="auto"/>
            </w:tcBorders>
            <w:vAlign w:val="center"/>
          </w:tcPr>
          <w:p w:rsidR="008F03B5" w:rsidRPr="00E2283E" w:rsidRDefault="008F03B5" w:rsidP="00E2283E">
            <w:pPr>
              <w:rPr>
                <w:lang/>
              </w:rPr>
            </w:pPr>
            <w:r w:rsidRPr="00E2283E">
              <w:rPr>
                <w:lang/>
              </w:rPr>
              <w:t>40</w:t>
            </w:r>
          </w:p>
        </w:tc>
        <w:tc>
          <w:tcPr>
            <w:tcW w:w="709" w:type="dxa"/>
            <w:tcBorders>
              <w:top w:val="nil"/>
              <w:left w:val="nil"/>
              <w:bottom w:val="single" w:sz="8" w:space="0" w:color="auto"/>
              <w:right w:val="single" w:sz="8" w:space="0" w:color="auto"/>
            </w:tcBorders>
            <w:vAlign w:val="center"/>
          </w:tcPr>
          <w:p w:rsidR="008F03B5" w:rsidRPr="00E2283E" w:rsidRDefault="008F03B5" w:rsidP="00E2283E">
            <w:pPr>
              <w:rPr>
                <w:lang/>
              </w:rPr>
            </w:pPr>
            <w:r w:rsidRPr="00E2283E">
              <w:rPr>
                <w:lang/>
              </w:rPr>
              <w:t>33</w:t>
            </w:r>
          </w:p>
        </w:tc>
        <w:tc>
          <w:tcPr>
            <w:tcW w:w="709" w:type="dxa"/>
            <w:tcBorders>
              <w:top w:val="nil"/>
              <w:left w:val="nil"/>
              <w:bottom w:val="single" w:sz="8" w:space="0" w:color="auto"/>
              <w:right w:val="single" w:sz="8" w:space="0" w:color="auto"/>
            </w:tcBorders>
            <w:vAlign w:val="center"/>
          </w:tcPr>
          <w:p w:rsidR="008F03B5" w:rsidRPr="00E2283E" w:rsidRDefault="008F03B5" w:rsidP="00E2283E">
            <w:pPr>
              <w:rPr>
                <w:lang/>
              </w:rPr>
            </w:pPr>
            <w:r w:rsidRPr="00E2283E">
              <w:rPr>
                <w:lang/>
              </w:rPr>
              <w:t>53</w:t>
            </w:r>
          </w:p>
        </w:tc>
        <w:tc>
          <w:tcPr>
            <w:tcW w:w="1134" w:type="dxa"/>
            <w:tcBorders>
              <w:top w:val="nil"/>
              <w:left w:val="nil"/>
              <w:bottom w:val="single" w:sz="8" w:space="0" w:color="auto"/>
              <w:right w:val="single" w:sz="8" w:space="0" w:color="auto"/>
            </w:tcBorders>
            <w:vAlign w:val="center"/>
          </w:tcPr>
          <w:p w:rsidR="008F03B5" w:rsidRPr="00E2283E" w:rsidRDefault="008F03B5" w:rsidP="00E2283E">
            <w:pPr>
              <w:rPr>
                <w:lang/>
              </w:rPr>
            </w:pPr>
            <w:r w:rsidRPr="00E2283E">
              <w:rPr>
                <w:lang/>
              </w:rPr>
              <w:t>26.93 ± 6.33</w:t>
            </w:r>
          </w:p>
        </w:tc>
        <w:tc>
          <w:tcPr>
            <w:tcW w:w="1134" w:type="dxa"/>
            <w:tcBorders>
              <w:top w:val="nil"/>
              <w:left w:val="nil"/>
              <w:bottom w:val="single" w:sz="8" w:space="0" w:color="auto"/>
              <w:right w:val="single" w:sz="8" w:space="0" w:color="auto"/>
            </w:tcBorders>
            <w:vAlign w:val="center"/>
          </w:tcPr>
          <w:p w:rsidR="008F03B5" w:rsidRPr="00E2283E" w:rsidRDefault="008F03B5" w:rsidP="00E2283E">
            <w:pPr>
              <w:rPr>
                <w:lang/>
              </w:rPr>
            </w:pPr>
            <w:r w:rsidRPr="00E2283E">
              <w:rPr>
                <w:lang/>
              </w:rPr>
              <w:t>26.58</w:t>
            </w:r>
          </w:p>
        </w:tc>
        <w:tc>
          <w:tcPr>
            <w:tcW w:w="709" w:type="dxa"/>
            <w:tcBorders>
              <w:top w:val="nil"/>
              <w:left w:val="nil"/>
              <w:bottom w:val="single" w:sz="8" w:space="0" w:color="auto"/>
              <w:right w:val="single" w:sz="8" w:space="0" w:color="auto"/>
            </w:tcBorders>
            <w:vAlign w:val="center"/>
          </w:tcPr>
          <w:p w:rsidR="008F03B5" w:rsidRPr="00E2283E" w:rsidRDefault="008F03B5" w:rsidP="00E2283E">
            <w:pPr>
              <w:rPr>
                <w:lang/>
              </w:rPr>
            </w:pPr>
            <w:r w:rsidRPr="00E2283E">
              <w:rPr>
                <w:lang/>
              </w:rPr>
              <w:t>13.7</w:t>
            </w:r>
          </w:p>
        </w:tc>
        <w:tc>
          <w:tcPr>
            <w:tcW w:w="708" w:type="dxa"/>
            <w:tcBorders>
              <w:top w:val="nil"/>
              <w:left w:val="nil"/>
              <w:bottom w:val="single" w:sz="8" w:space="0" w:color="auto"/>
              <w:right w:val="single" w:sz="8" w:space="0" w:color="auto"/>
            </w:tcBorders>
            <w:vAlign w:val="center"/>
          </w:tcPr>
          <w:p w:rsidR="008F03B5" w:rsidRPr="00E2283E" w:rsidRDefault="008F03B5" w:rsidP="00E2283E">
            <w:pPr>
              <w:rPr>
                <w:lang/>
              </w:rPr>
            </w:pPr>
            <w:r w:rsidRPr="00E2283E">
              <w:rPr>
                <w:lang/>
              </w:rPr>
              <w:t>39</w:t>
            </w:r>
          </w:p>
        </w:tc>
        <w:tc>
          <w:tcPr>
            <w:tcW w:w="907" w:type="dxa"/>
            <w:tcBorders>
              <w:top w:val="nil"/>
              <w:left w:val="nil"/>
              <w:bottom w:val="single" w:sz="8" w:space="0" w:color="auto"/>
              <w:right w:val="single" w:sz="8" w:space="0" w:color="auto"/>
            </w:tcBorders>
            <w:vAlign w:val="center"/>
          </w:tcPr>
          <w:p w:rsidR="008F03B5" w:rsidRPr="00E2283E" w:rsidRDefault="008F03B5" w:rsidP="00E2283E">
            <w:pPr>
              <w:rPr>
                <w:lang/>
              </w:rPr>
            </w:pPr>
            <w:r w:rsidRPr="00E2283E">
              <w:rPr>
                <w:lang/>
              </w:rPr>
              <w:t>&lt;0.001</w:t>
            </w:r>
          </w:p>
        </w:tc>
      </w:tr>
    </w:tbl>
    <w:p w:rsidR="008F03B5" w:rsidRPr="00E2283E" w:rsidRDefault="008F03B5" w:rsidP="00E2283E">
      <w:pPr>
        <w:spacing w:after="0" w:line="360" w:lineRule="auto"/>
        <w:ind w:firstLine="425"/>
        <w:jc w:val="both"/>
        <w:rPr>
          <w:rtl/>
          <w:lang/>
        </w:rPr>
      </w:pPr>
    </w:p>
    <w:p w:rsidR="008F03B5" w:rsidRPr="00E2283E" w:rsidRDefault="008F03B5" w:rsidP="00E2283E">
      <w:pPr>
        <w:bidi w:val="0"/>
        <w:spacing w:after="0" w:line="360" w:lineRule="auto"/>
        <w:ind w:firstLine="425"/>
        <w:jc w:val="both"/>
        <w:rPr>
          <w:lang/>
        </w:rPr>
      </w:pPr>
      <w:r w:rsidRPr="00E2283E">
        <w:rPr>
          <w:lang/>
        </w:rPr>
        <w:t>Comparison of means of IGF-1 level between patient and control groups was shown in table (2). It was found that IGF-1 level was significantly lower in the patients compared to controls.</w:t>
      </w:r>
    </w:p>
    <w:p w:rsidR="008F03B5" w:rsidRPr="00E2283E" w:rsidRDefault="008F03B5" w:rsidP="00E2283E">
      <w:pPr>
        <w:bidi w:val="0"/>
        <w:spacing w:after="0" w:line="360" w:lineRule="auto"/>
        <w:ind w:firstLine="425"/>
        <w:jc w:val="both"/>
        <w:rPr>
          <w:lang/>
        </w:rPr>
      </w:pPr>
      <w:r w:rsidRPr="00E2283E">
        <w:rPr>
          <w:lang/>
        </w:rPr>
        <w:t>Table (3): Correlation between IGF-1 level and (serum albumin, total bilirubin, direct bilirubin, PT, INR, AST, ALT, ALP and GGT)</w:t>
      </w:r>
    </w:p>
    <w:tbl>
      <w:tblPr>
        <w:tblW w:w="8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95"/>
        <w:gridCol w:w="1837"/>
        <w:gridCol w:w="2172"/>
      </w:tblGrid>
      <w:tr w:rsidR="008F03B5" w:rsidRPr="00E2283E" w:rsidTr="00E2283E">
        <w:trPr>
          <w:jc w:val="center"/>
        </w:trPr>
        <w:tc>
          <w:tcPr>
            <w:tcW w:w="0" w:type="auto"/>
            <w:vMerge w:val="restart"/>
          </w:tcPr>
          <w:p w:rsidR="008F03B5" w:rsidRPr="00E2283E" w:rsidRDefault="008F03B5" w:rsidP="00E2283E">
            <w:pPr>
              <w:rPr>
                <w:lang/>
              </w:rPr>
            </w:pPr>
            <w:r w:rsidRPr="00E2283E">
              <w:rPr>
                <w:lang/>
              </w:rPr>
              <w:t>Liver function tests</w:t>
            </w:r>
          </w:p>
        </w:tc>
        <w:tc>
          <w:tcPr>
            <w:tcW w:w="0" w:type="auto"/>
            <w:gridSpan w:val="2"/>
          </w:tcPr>
          <w:p w:rsidR="008F03B5" w:rsidRPr="00E2283E" w:rsidRDefault="008F03B5" w:rsidP="00E2283E">
            <w:pPr>
              <w:rPr>
                <w:lang/>
              </w:rPr>
            </w:pPr>
            <w:r w:rsidRPr="00E2283E">
              <w:rPr>
                <w:lang/>
              </w:rPr>
              <w:t>IGF-1</w:t>
            </w:r>
          </w:p>
        </w:tc>
      </w:tr>
      <w:tr w:rsidR="008F03B5" w:rsidRPr="00E2283E" w:rsidTr="00E2283E">
        <w:trPr>
          <w:jc w:val="center"/>
        </w:trPr>
        <w:tc>
          <w:tcPr>
            <w:tcW w:w="0" w:type="auto"/>
            <w:vMerge/>
          </w:tcPr>
          <w:p w:rsidR="008F03B5" w:rsidRPr="00E2283E" w:rsidRDefault="008F03B5" w:rsidP="00E2283E">
            <w:pPr>
              <w:rPr>
                <w:lang/>
              </w:rPr>
            </w:pPr>
          </w:p>
        </w:tc>
        <w:tc>
          <w:tcPr>
            <w:tcW w:w="0" w:type="auto"/>
            <w:vAlign w:val="center"/>
          </w:tcPr>
          <w:p w:rsidR="008F03B5" w:rsidRPr="00E2283E" w:rsidRDefault="008F03B5" w:rsidP="00E2283E">
            <w:pPr>
              <w:rPr>
                <w:lang/>
              </w:rPr>
            </w:pPr>
            <w:r w:rsidRPr="00E2283E">
              <w:rPr>
                <w:lang/>
              </w:rPr>
              <w:t>r</w:t>
            </w:r>
          </w:p>
        </w:tc>
        <w:tc>
          <w:tcPr>
            <w:tcW w:w="0" w:type="auto"/>
            <w:vAlign w:val="center"/>
          </w:tcPr>
          <w:p w:rsidR="008F03B5" w:rsidRPr="00E2283E" w:rsidRDefault="008F03B5" w:rsidP="00E2283E">
            <w:pPr>
              <w:rPr>
                <w:lang/>
              </w:rPr>
            </w:pPr>
            <w:r w:rsidRPr="00E2283E">
              <w:rPr>
                <w:lang/>
              </w:rPr>
              <w:t>P- value</w:t>
            </w:r>
          </w:p>
        </w:tc>
      </w:tr>
      <w:tr w:rsidR="008F03B5" w:rsidRPr="00E2283E" w:rsidTr="00E2283E">
        <w:trPr>
          <w:jc w:val="center"/>
        </w:trPr>
        <w:tc>
          <w:tcPr>
            <w:tcW w:w="0" w:type="auto"/>
          </w:tcPr>
          <w:p w:rsidR="008F03B5" w:rsidRPr="00E2283E" w:rsidRDefault="008F03B5" w:rsidP="00E2283E">
            <w:pPr>
              <w:rPr>
                <w:lang/>
              </w:rPr>
            </w:pPr>
            <w:r w:rsidRPr="00E2283E">
              <w:rPr>
                <w:lang/>
              </w:rPr>
              <w:t>Albumin</w:t>
            </w:r>
          </w:p>
        </w:tc>
        <w:tc>
          <w:tcPr>
            <w:tcW w:w="0" w:type="auto"/>
            <w:vAlign w:val="center"/>
          </w:tcPr>
          <w:p w:rsidR="008F03B5" w:rsidRPr="00E2283E" w:rsidRDefault="008F03B5" w:rsidP="00E2283E">
            <w:pPr>
              <w:rPr>
                <w:lang/>
              </w:rPr>
            </w:pPr>
            <w:r w:rsidRPr="00E2283E">
              <w:rPr>
                <w:lang/>
              </w:rPr>
              <w:t>0.456</w:t>
            </w:r>
          </w:p>
        </w:tc>
        <w:tc>
          <w:tcPr>
            <w:tcW w:w="0" w:type="auto"/>
            <w:vAlign w:val="center"/>
          </w:tcPr>
          <w:p w:rsidR="008F03B5" w:rsidRPr="00E2283E" w:rsidRDefault="008F03B5" w:rsidP="00E2283E">
            <w:pPr>
              <w:rPr>
                <w:lang/>
              </w:rPr>
            </w:pPr>
            <w:r w:rsidRPr="00E2283E">
              <w:rPr>
                <w:lang/>
              </w:rPr>
              <w:t>0.001</w:t>
            </w:r>
          </w:p>
        </w:tc>
      </w:tr>
      <w:tr w:rsidR="008F03B5" w:rsidRPr="00E2283E" w:rsidTr="00E2283E">
        <w:trPr>
          <w:jc w:val="center"/>
        </w:trPr>
        <w:tc>
          <w:tcPr>
            <w:tcW w:w="0" w:type="auto"/>
          </w:tcPr>
          <w:p w:rsidR="008F03B5" w:rsidRPr="00E2283E" w:rsidRDefault="008F03B5" w:rsidP="00E2283E">
            <w:pPr>
              <w:rPr>
                <w:lang/>
              </w:rPr>
            </w:pPr>
            <w:r w:rsidRPr="00E2283E">
              <w:rPr>
                <w:lang/>
              </w:rPr>
              <w:t>Total bilirubin</w:t>
            </w:r>
          </w:p>
        </w:tc>
        <w:tc>
          <w:tcPr>
            <w:tcW w:w="0" w:type="auto"/>
            <w:vAlign w:val="center"/>
          </w:tcPr>
          <w:p w:rsidR="008F03B5" w:rsidRPr="00E2283E" w:rsidRDefault="008F03B5" w:rsidP="00E2283E">
            <w:pPr>
              <w:rPr>
                <w:lang/>
              </w:rPr>
            </w:pPr>
            <w:r w:rsidRPr="00E2283E">
              <w:rPr>
                <w:lang/>
              </w:rPr>
              <w:t>-0.400</w:t>
            </w:r>
          </w:p>
        </w:tc>
        <w:tc>
          <w:tcPr>
            <w:tcW w:w="0" w:type="auto"/>
            <w:vAlign w:val="center"/>
          </w:tcPr>
          <w:p w:rsidR="008F03B5" w:rsidRPr="00E2283E" w:rsidRDefault="008F03B5" w:rsidP="00E2283E">
            <w:pPr>
              <w:rPr>
                <w:lang/>
              </w:rPr>
            </w:pPr>
            <w:r w:rsidRPr="00E2283E">
              <w:rPr>
                <w:lang/>
              </w:rPr>
              <w:t>0.004</w:t>
            </w:r>
          </w:p>
        </w:tc>
      </w:tr>
      <w:tr w:rsidR="008F03B5" w:rsidRPr="00E2283E" w:rsidTr="00E2283E">
        <w:trPr>
          <w:jc w:val="center"/>
        </w:trPr>
        <w:tc>
          <w:tcPr>
            <w:tcW w:w="0" w:type="auto"/>
          </w:tcPr>
          <w:p w:rsidR="008F03B5" w:rsidRPr="00E2283E" w:rsidRDefault="008F03B5" w:rsidP="00E2283E">
            <w:pPr>
              <w:rPr>
                <w:lang/>
              </w:rPr>
            </w:pPr>
            <w:r w:rsidRPr="00E2283E">
              <w:rPr>
                <w:lang/>
              </w:rPr>
              <w:t>Direct bilirubin</w:t>
            </w:r>
          </w:p>
        </w:tc>
        <w:tc>
          <w:tcPr>
            <w:tcW w:w="0" w:type="auto"/>
            <w:vAlign w:val="center"/>
          </w:tcPr>
          <w:p w:rsidR="008F03B5" w:rsidRPr="00E2283E" w:rsidRDefault="008F03B5" w:rsidP="00E2283E">
            <w:pPr>
              <w:rPr>
                <w:lang/>
              </w:rPr>
            </w:pPr>
            <w:r w:rsidRPr="00E2283E">
              <w:rPr>
                <w:lang/>
              </w:rPr>
              <w:t>-0.401</w:t>
            </w:r>
          </w:p>
        </w:tc>
        <w:tc>
          <w:tcPr>
            <w:tcW w:w="0" w:type="auto"/>
            <w:vAlign w:val="center"/>
          </w:tcPr>
          <w:p w:rsidR="008F03B5" w:rsidRPr="00E2283E" w:rsidRDefault="008F03B5" w:rsidP="00E2283E">
            <w:pPr>
              <w:rPr>
                <w:lang/>
              </w:rPr>
            </w:pPr>
            <w:r w:rsidRPr="00E2283E">
              <w:rPr>
                <w:lang/>
              </w:rPr>
              <w:t>0.004</w:t>
            </w:r>
          </w:p>
        </w:tc>
      </w:tr>
      <w:tr w:rsidR="008F03B5" w:rsidRPr="00E2283E" w:rsidTr="00E2283E">
        <w:trPr>
          <w:jc w:val="center"/>
        </w:trPr>
        <w:tc>
          <w:tcPr>
            <w:tcW w:w="0" w:type="auto"/>
          </w:tcPr>
          <w:p w:rsidR="008F03B5" w:rsidRPr="00E2283E" w:rsidRDefault="008F03B5" w:rsidP="00E2283E">
            <w:pPr>
              <w:rPr>
                <w:lang/>
              </w:rPr>
            </w:pPr>
            <w:r w:rsidRPr="00E2283E">
              <w:rPr>
                <w:lang/>
              </w:rPr>
              <w:t>PT</w:t>
            </w:r>
          </w:p>
        </w:tc>
        <w:tc>
          <w:tcPr>
            <w:tcW w:w="0" w:type="auto"/>
            <w:vAlign w:val="center"/>
          </w:tcPr>
          <w:p w:rsidR="008F03B5" w:rsidRPr="00E2283E" w:rsidRDefault="008F03B5" w:rsidP="00E2283E">
            <w:pPr>
              <w:rPr>
                <w:lang/>
              </w:rPr>
            </w:pPr>
            <w:r w:rsidRPr="00E2283E">
              <w:rPr>
                <w:lang/>
              </w:rPr>
              <w:t>-0.326</w:t>
            </w:r>
          </w:p>
        </w:tc>
        <w:tc>
          <w:tcPr>
            <w:tcW w:w="0" w:type="auto"/>
            <w:vAlign w:val="center"/>
          </w:tcPr>
          <w:p w:rsidR="008F03B5" w:rsidRPr="00E2283E" w:rsidRDefault="008F03B5" w:rsidP="00E2283E">
            <w:pPr>
              <w:rPr>
                <w:lang/>
              </w:rPr>
            </w:pPr>
            <w:r w:rsidRPr="00E2283E">
              <w:rPr>
                <w:lang/>
              </w:rPr>
              <w:t>0.021</w:t>
            </w:r>
          </w:p>
        </w:tc>
      </w:tr>
      <w:tr w:rsidR="008F03B5" w:rsidRPr="00E2283E" w:rsidTr="00E2283E">
        <w:trPr>
          <w:jc w:val="center"/>
        </w:trPr>
        <w:tc>
          <w:tcPr>
            <w:tcW w:w="0" w:type="auto"/>
          </w:tcPr>
          <w:p w:rsidR="008F03B5" w:rsidRPr="00E2283E" w:rsidRDefault="008F03B5" w:rsidP="00E2283E">
            <w:pPr>
              <w:rPr>
                <w:lang/>
              </w:rPr>
            </w:pPr>
            <w:r w:rsidRPr="00E2283E">
              <w:rPr>
                <w:lang/>
              </w:rPr>
              <w:t>INR</w:t>
            </w:r>
          </w:p>
        </w:tc>
        <w:tc>
          <w:tcPr>
            <w:tcW w:w="0" w:type="auto"/>
            <w:vAlign w:val="center"/>
          </w:tcPr>
          <w:p w:rsidR="008F03B5" w:rsidRPr="00E2283E" w:rsidRDefault="008F03B5" w:rsidP="00E2283E">
            <w:pPr>
              <w:rPr>
                <w:lang/>
              </w:rPr>
            </w:pPr>
            <w:r w:rsidRPr="00E2283E">
              <w:rPr>
                <w:lang/>
              </w:rPr>
              <w:t>-0.335</w:t>
            </w:r>
          </w:p>
        </w:tc>
        <w:tc>
          <w:tcPr>
            <w:tcW w:w="0" w:type="auto"/>
            <w:vAlign w:val="center"/>
          </w:tcPr>
          <w:p w:rsidR="008F03B5" w:rsidRPr="00E2283E" w:rsidRDefault="008F03B5" w:rsidP="00E2283E">
            <w:pPr>
              <w:rPr>
                <w:lang/>
              </w:rPr>
            </w:pPr>
            <w:r w:rsidRPr="00E2283E">
              <w:rPr>
                <w:lang/>
              </w:rPr>
              <w:t>0.018</w:t>
            </w:r>
          </w:p>
        </w:tc>
      </w:tr>
      <w:tr w:rsidR="008F03B5" w:rsidRPr="00E2283E" w:rsidTr="00E2283E">
        <w:trPr>
          <w:jc w:val="center"/>
        </w:trPr>
        <w:tc>
          <w:tcPr>
            <w:tcW w:w="0" w:type="auto"/>
          </w:tcPr>
          <w:p w:rsidR="008F03B5" w:rsidRPr="00E2283E" w:rsidRDefault="008F03B5" w:rsidP="00E2283E">
            <w:pPr>
              <w:rPr>
                <w:lang/>
              </w:rPr>
            </w:pPr>
            <w:r w:rsidRPr="00E2283E">
              <w:rPr>
                <w:lang/>
              </w:rPr>
              <w:t>AST</w:t>
            </w:r>
          </w:p>
        </w:tc>
        <w:tc>
          <w:tcPr>
            <w:tcW w:w="0" w:type="auto"/>
            <w:vAlign w:val="center"/>
          </w:tcPr>
          <w:p w:rsidR="008F03B5" w:rsidRPr="00E2283E" w:rsidRDefault="008F03B5" w:rsidP="00E2283E">
            <w:pPr>
              <w:rPr>
                <w:lang/>
              </w:rPr>
            </w:pPr>
            <w:r w:rsidRPr="00E2283E">
              <w:rPr>
                <w:lang/>
              </w:rPr>
              <w:t>-0.366</w:t>
            </w:r>
          </w:p>
        </w:tc>
        <w:tc>
          <w:tcPr>
            <w:tcW w:w="0" w:type="auto"/>
            <w:vAlign w:val="center"/>
          </w:tcPr>
          <w:p w:rsidR="008F03B5" w:rsidRPr="00E2283E" w:rsidRDefault="008F03B5" w:rsidP="00E2283E">
            <w:pPr>
              <w:rPr>
                <w:lang/>
              </w:rPr>
            </w:pPr>
            <w:r w:rsidRPr="00E2283E">
              <w:rPr>
                <w:lang/>
              </w:rPr>
              <w:t>0.009</w:t>
            </w:r>
          </w:p>
        </w:tc>
      </w:tr>
      <w:tr w:rsidR="008F03B5" w:rsidRPr="00E2283E" w:rsidTr="00E2283E">
        <w:trPr>
          <w:jc w:val="center"/>
        </w:trPr>
        <w:tc>
          <w:tcPr>
            <w:tcW w:w="0" w:type="auto"/>
          </w:tcPr>
          <w:p w:rsidR="008F03B5" w:rsidRPr="00E2283E" w:rsidRDefault="008F03B5" w:rsidP="00E2283E">
            <w:pPr>
              <w:rPr>
                <w:lang/>
              </w:rPr>
            </w:pPr>
            <w:r w:rsidRPr="00E2283E">
              <w:rPr>
                <w:lang/>
              </w:rPr>
              <w:t>ALT</w:t>
            </w:r>
          </w:p>
        </w:tc>
        <w:tc>
          <w:tcPr>
            <w:tcW w:w="0" w:type="auto"/>
            <w:vAlign w:val="center"/>
          </w:tcPr>
          <w:p w:rsidR="008F03B5" w:rsidRPr="00E2283E" w:rsidRDefault="008F03B5" w:rsidP="00E2283E">
            <w:pPr>
              <w:rPr>
                <w:lang/>
              </w:rPr>
            </w:pPr>
            <w:r w:rsidRPr="00E2283E">
              <w:rPr>
                <w:lang/>
              </w:rPr>
              <w:t>0.098</w:t>
            </w:r>
          </w:p>
        </w:tc>
        <w:tc>
          <w:tcPr>
            <w:tcW w:w="0" w:type="auto"/>
            <w:vAlign w:val="center"/>
          </w:tcPr>
          <w:p w:rsidR="008F03B5" w:rsidRPr="00E2283E" w:rsidRDefault="008F03B5" w:rsidP="00E2283E">
            <w:pPr>
              <w:rPr>
                <w:lang/>
              </w:rPr>
            </w:pPr>
            <w:r w:rsidRPr="00E2283E">
              <w:rPr>
                <w:lang/>
              </w:rPr>
              <w:t>0.499</w:t>
            </w:r>
          </w:p>
        </w:tc>
      </w:tr>
      <w:tr w:rsidR="008F03B5" w:rsidRPr="00E2283E" w:rsidTr="00E2283E">
        <w:trPr>
          <w:jc w:val="center"/>
        </w:trPr>
        <w:tc>
          <w:tcPr>
            <w:tcW w:w="0" w:type="auto"/>
          </w:tcPr>
          <w:p w:rsidR="008F03B5" w:rsidRPr="00E2283E" w:rsidRDefault="008F03B5" w:rsidP="00E2283E">
            <w:pPr>
              <w:rPr>
                <w:lang/>
              </w:rPr>
            </w:pPr>
            <w:r w:rsidRPr="00E2283E">
              <w:rPr>
                <w:lang/>
              </w:rPr>
              <w:t>ALP</w:t>
            </w:r>
          </w:p>
        </w:tc>
        <w:tc>
          <w:tcPr>
            <w:tcW w:w="0" w:type="auto"/>
            <w:vAlign w:val="center"/>
          </w:tcPr>
          <w:p w:rsidR="008F03B5" w:rsidRPr="00E2283E" w:rsidRDefault="008F03B5" w:rsidP="00E2283E">
            <w:pPr>
              <w:rPr>
                <w:lang/>
              </w:rPr>
            </w:pPr>
            <w:r w:rsidRPr="00E2283E">
              <w:rPr>
                <w:lang/>
              </w:rPr>
              <w:t>-0.013</w:t>
            </w:r>
          </w:p>
        </w:tc>
        <w:tc>
          <w:tcPr>
            <w:tcW w:w="0" w:type="auto"/>
            <w:vAlign w:val="center"/>
          </w:tcPr>
          <w:p w:rsidR="008F03B5" w:rsidRPr="00E2283E" w:rsidRDefault="008F03B5" w:rsidP="00E2283E">
            <w:pPr>
              <w:rPr>
                <w:lang/>
              </w:rPr>
            </w:pPr>
            <w:r w:rsidRPr="00E2283E">
              <w:rPr>
                <w:lang/>
              </w:rPr>
              <w:t>0.927</w:t>
            </w:r>
          </w:p>
        </w:tc>
      </w:tr>
      <w:tr w:rsidR="008F03B5" w:rsidRPr="00E2283E" w:rsidTr="00E2283E">
        <w:trPr>
          <w:jc w:val="center"/>
        </w:trPr>
        <w:tc>
          <w:tcPr>
            <w:tcW w:w="0" w:type="auto"/>
          </w:tcPr>
          <w:p w:rsidR="008F03B5" w:rsidRPr="00E2283E" w:rsidRDefault="008F03B5" w:rsidP="00E2283E">
            <w:pPr>
              <w:rPr>
                <w:lang/>
              </w:rPr>
            </w:pPr>
            <w:r w:rsidRPr="00E2283E">
              <w:rPr>
                <w:lang/>
              </w:rPr>
              <w:t>GGT</w:t>
            </w:r>
          </w:p>
        </w:tc>
        <w:tc>
          <w:tcPr>
            <w:tcW w:w="0" w:type="auto"/>
            <w:vAlign w:val="center"/>
          </w:tcPr>
          <w:p w:rsidR="008F03B5" w:rsidRPr="00E2283E" w:rsidRDefault="008F03B5" w:rsidP="00E2283E">
            <w:pPr>
              <w:rPr>
                <w:lang/>
              </w:rPr>
            </w:pPr>
            <w:r w:rsidRPr="00E2283E">
              <w:rPr>
                <w:lang/>
              </w:rPr>
              <w:t>-0.134</w:t>
            </w:r>
          </w:p>
        </w:tc>
        <w:tc>
          <w:tcPr>
            <w:tcW w:w="0" w:type="auto"/>
            <w:vAlign w:val="center"/>
          </w:tcPr>
          <w:p w:rsidR="008F03B5" w:rsidRPr="00E2283E" w:rsidRDefault="008F03B5" w:rsidP="00E2283E">
            <w:pPr>
              <w:rPr>
                <w:lang/>
              </w:rPr>
            </w:pPr>
            <w:r w:rsidRPr="00E2283E">
              <w:rPr>
                <w:lang/>
              </w:rPr>
              <w:t>0.355</w:t>
            </w:r>
          </w:p>
        </w:tc>
      </w:tr>
    </w:tbl>
    <w:p w:rsidR="008F03B5" w:rsidRPr="00E2283E" w:rsidRDefault="008F03B5" w:rsidP="00E2283E">
      <w:pPr>
        <w:bidi w:val="0"/>
        <w:spacing w:line="360" w:lineRule="auto"/>
        <w:ind w:firstLine="425"/>
        <w:jc w:val="both"/>
        <w:rPr>
          <w:lang/>
        </w:rPr>
      </w:pPr>
      <w:r w:rsidRPr="00E2283E">
        <w:rPr>
          <w:lang/>
        </w:rPr>
        <w:t xml:space="preserve">ALP: Alkaline phosphatase </w:t>
      </w:r>
      <w:r w:rsidRPr="00E2283E">
        <w:rPr>
          <w:rFonts w:eastAsia="HelveticaNeue-Roman"/>
          <w:lang/>
        </w:rPr>
        <w:t xml:space="preserve">- </w:t>
      </w:r>
      <w:r w:rsidRPr="00E2283E">
        <w:rPr>
          <w:lang/>
        </w:rPr>
        <w:t xml:space="preserve">ALT: Alanine  aminotransferase </w:t>
      </w:r>
      <w:r w:rsidRPr="00E2283E">
        <w:rPr>
          <w:rFonts w:eastAsia="HelveticaNeue-Roman"/>
          <w:lang/>
        </w:rPr>
        <w:t xml:space="preserve">- </w:t>
      </w:r>
      <w:r w:rsidRPr="00E2283E">
        <w:rPr>
          <w:lang/>
        </w:rPr>
        <w:t>AST: Aspartate aminotransferase</w:t>
      </w:r>
      <w:r w:rsidRPr="00E2283E">
        <w:rPr>
          <w:rFonts w:eastAsia="HelveticaNeue-Roman"/>
          <w:lang/>
        </w:rPr>
        <w:t xml:space="preserve"> - </w:t>
      </w:r>
      <w:r w:rsidRPr="00E2283E">
        <w:rPr>
          <w:lang/>
        </w:rPr>
        <w:t xml:space="preserve">GGT: Gama glutamyltransferase </w:t>
      </w:r>
      <w:r w:rsidRPr="00E2283E">
        <w:rPr>
          <w:rFonts w:eastAsia="HelveticaNeue-Roman"/>
          <w:lang/>
        </w:rPr>
        <w:t xml:space="preserve">- </w:t>
      </w:r>
      <w:r w:rsidRPr="00E2283E">
        <w:rPr>
          <w:lang/>
        </w:rPr>
        <w:t xml:space="preserve">PT:  Prothrombin time - </w:t>
      </w:r>
      <w:r w:rsidRPr="00E2283E">
        <w:rPr>
          <w:rFonts w:eastAsia="HelveticaNeue-Roman"/>
          <w:lang/>
        </w:rPr>
        <w:t>INR: International normalized ratio.</w:t>
      </w:r>
    </w:p>
    <w:p w:rsidR="008F03B5" w:rsidRPr="00E2283E" w:rsidRDefault="008F03B5" w:rsidP="00E2283E">
      <w:pPr>
        <w:bidi w:val="0"/>
        <w:spacing w:after="0" w:line="360" w:lineRule="auto"/>
        <w:ind w:firstLine="425"/>
        <w:jc w:val="both"/>
        <w:rPr>
          <w:lang/>
        </w:rPr>
      </w:pPr>
      <w:r w:rsidRPr="00E2283E">
        <w:rPr>
          <w:lang/>
        </w:rPr>
        <w:t>The correlation between serum  IGF-1 level and (serum albumin, total bilirubin, direct bilirubin, PT, INR, AST, ALT, ALP and GGT) was illustrated in table (3). It was found that serum IGF-1 level had positive significant correlation with serum albumin and had negative significant correlation with total bilirubin, direct bilirubin, PT, INR, and AST.</w:t>
      </w:r>
    </w:p>
    <w:p w:rsidR="008F03B5" w:rsidRPr="00E2283E" w:rsidRDefault="008F03B5" w:rsidP="00E2283E">
      <w:pPr>
        <w:bidi w:val="0"/>
        <w:spacing w:after="0" w:line="360" w:lineRule="auto"/>
        <w:ind w:firstLine="425"/>
        <w:jc w:val="both"/>
        <w:rPr>
          <w:lang/>
        </w:rPr>
      </w:pPr>
      <w:r w:rsidRPr="00E2283E">
        <w:rPr>
          <w:lang/>
        </w:rPr>
        <w:t>Table (4): Comparison of means of IGF-1 level between Child Pugh classes</w:t>
      </w:r>
    </w:p>
    <w:tbl>
      <w:tblPr>
        <w:tblW w:w="8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07"/>
        <w:gridCol w:w="1887"/>
        <w:gridCol w:w="1952"/>
        <w:gridCol w:w="1952"/>
        <w:gridCol w:w="1206"/>
      </w:tblGrid>
      <w:tr w:rsidR="008F03B5" w:rsidRPr="00E2283E" w:rsidTr="00E2283E">
        <w:trPr>
          <w:jc w:val="center"/>
        </w:trPr>
        <w:tc>
          <w:tcPr>
            <w:tcW w:w="0" w:type="auto"/>
            <w:vMerge w:val="restart"/>
            <w:vAlign w:val="center"/>
          </w:tcPr>
          <w:p w:rsidR="008F03B5" w:rsidRPr="00E2283E" w:rsidRDefault="008F03B5" w:rsidP="00E2283E">
            <w:pPr>
              <w:rPr>
                <w:lang/>
              </w:rPr>
            </w:pPr>
          </w:p>
        </w:tc>
        <w:tc>
          <w:tcPr>
            <w:tcW w:w="0" w:type="auto"/>
            <w:gridSpan w:val="3"/>
            <w:vAlign w:val="center"/>
          </w:tcPr>
          <w:p w:rsidR="008F03B5" w:rsidRPr="00E2283E" w:rsidRDefault="008F03B5" w:rsidP="00E2283E">
            <w:pPr>
              <w:rPr>
                <w:lang/>
              </w:rPr>
            </w:pPr>
            <w:r w:rsidRPr="00E2283E">
              <w:rPr>
                <w:lang/>
              </w:rPr>
              <w:t>Mean ± SD of IGF-1 in different Child Pugh class</w:t>
            </w:r>
          </w:p>
        </w:tc>
        <w:tc>
          <w:tcPr>
            <w:tcW w:w="0" w:type="auto"/>
            <w:vMerge w:val="restart"/>
            <w:vAlign w:val="center"/>
          </w:tcPr>
          <w:p w:rsidR="008F03B5" w:rsidRPr="00E2283E" w:rsidRDefault="008F03B5" w:rsidP="00E2283E">
            <w:pPr>
              <w:rPr>
                <w:lang/>
              </w:rPr>
            </w:pPr>
            <w:r w:rsidRPr="00E2283E">
              <w:rPr>
                <w:lang/>
              </w:rPr>
              <w:t>P- value</w:t>
            </w:r>
          </w:p>
        </w:tc>
      </w:tr>
      <w:tr w:rsidR="008F03B5" w:rsidRPr="00E2283E" w:rsidTr="00E2283E">
        <w:trPr>
          <w:jc w:val="center"/>
        </w:trPr>
        <w:tc>
          <w:tcPr>
            <w:tcW w:w="0" w:type="auto"/>
            <w:vMerge/>
            <w:vAlign w:val="center"/>
          </w:tcPr>
          <w:p w:rsidR="008F03B5" w:rsidRPr="00E2283E" w:rsidRDefault="008F03B5" w:rsidP="00E2283E">
            <w:pPr>
              <w:rPr>
                <w:lang/>
              </w:rPr>
            </w:pPr>
          </w:p>
        </w:tc>
        <w:tc>
          <w:tcPr>
            <w:tcW w:w="0" w:type="auto"/>
            <w:vAlign w:val="center"/>
          </w:tcPr>
          <w:p w:rsidR="008F03B5" w:rsidRPr="00E2283E" w:rsidRDefault="008F03B5" w:rsidP="00E2283E">
            <w:pPr>
              <w:rPr>
                <w:lang/>
              </w:rPr>
            </w:pPr>
            <w:r w:rsidRPr="00E2283E">
              <w:rPr>
                <w:lang/>
              </w:rPr>
              <w:t>Child Pugh A</w:t>
            </w:r>
          </w:p>
          <w:p w:rsidR="008F03B5" w:rsidRPr="00E2283E" w:rsidRDefault="008F03B5" w:rsidP="00E2283E">
            <w:pPr>
              <w:rPr>
                <w:lang/>
              </w:rPr>
            </w:pPr>
            <w:r w:rsidRPr="00E2283E">
              <w:rPr>
                <w:lang/>
              </w:rPr>
              <w:t>(n=22)</w:t>
            </w:r>
          </w:p>
        </w:tc>
        <w:tc>
          <w:tcPr>
            <w:tcW w:w="0" w:type="auto"/>
            <w:vAlign w:val="center"/>
          </w:tcPr>
          <w:p w:rsidR="008F03B5" w:rsidRPr="00E2283E" w:rsidRDefault="008F03B5" w:rsidP="00E2283E">
            <w:pPr>
              <w:rPr>
                <w:lang/>
              </w:rPr>
            </w:pPr>
            <w:r w:rsidRPr="00E2283E">
              <w:rPr>
                <w:lang/>
              </w:rPr>
              <w:t>Child Pugh B</w:t>
            </w:r>
          </w:p>
          <w:p w:rsidR="008F03B5" w:rsidRPr="00E2283E" w:rsidRDefault="008F03B5" w:rsidP="00E2283E">
            <w:pPr>
              <w:rPr>
                <w:lang/>
              </w:rPr>
            </w:pPr>
            <w:r w:rsidRPr="00E2283E">
              <w:rPr>
                <w:lang/>
              </w:rPr>
              <w:t>(n=17)</w:t>
            </w:r>
          </w:p>
        </w:tc>
        <w:tc>
          <w:tcPr>
            <w:tcW w:w="0" w:type="auto"/>
            <w:vAlign w:val="center"/>
          </w:tcPr>
          <w:p w:rsidR="008F03B5" w:rsidRPr="00E2283E" w:rsidRDefault="008F03B5" w:rsidP="00E2283E">
            <w:pPr>
              <w:rPr>
                <w:lang/>
              </w:rPr>
            </w:pPr>
            <w:r w:rsidRPr="00E2283E">
              <w:rPr>
                <w:lang/>
              </w:rPr>
              <w:t>Child Pugh C</w:t>
            </w:r>
          </w:p>
          <w:p w:rsidR="008F03B5" w:rsidRPr="00E2283E" w:rsidRDefault="008F03B5" w:rsidP="00E2283E">
            <w:pPr>
              <w:rPr>
                <w:lang/>
              </w:rPr>
            </w:pPr>
            <w:r w:rsidRPr="00E2283E">
              <w:rPr>
                <w:lang/>
              </w:rPr>
              <w:t>(n=11)</w:t>
            </w:r>
          </w:p>
        </w:tc>
        <w:tc>
          <w:tcPr>
            <w:tcW w:w="0" w:type="auto"/>
            <w:vMerge/>
            <w:vAlign w:val="center"/>
          </w:tcPr>
          <w:p w:rsidR="008F03B5" w:rsidRPr="00E2283E" w:rsidRDefault="008F03B5" w:rsidP="00E2283E">
            <w:pPr>
              <w:rPr>
                <w:lang/>
              </w:rPr>
            </w:pPr>
          </w:p>
        </w:tc>
      </w:tr>
      <w:tr w:rsidR="008F03B5" w:rsidRPr="00E2283E" w:rsidTr="00E2283E">
        <w:trPr>
          <w:trHeight w:val="562"/>
          <w:jc w:val="center"/>
        </w:trPr>
        <w:tc>
          <w:tcPr>
            <w:tcW w:w="0" w:type="auto"/>
            <w:vAlign w:val="center"/>
          </w:tcPr>
          <w:p w:rsidR="008F03B5" w:rsidRPr="00E2283E" w:rsidRDefault="008F03B5" w:rsidP="00E2283E">
            <w:pPr>
              <w:rPr>
                <w:lang/>
              </w:rPr>
            </w:pPr>
            <w:r w:rsidRPr="00E2283E">
              <w:rPr>
                <w:lang/>
              </w:rPr>
              <w:t>IGF-1 level</w:t>
            </w:r>
          </w:p>
        </w:tc>
        <w:tc>
          <w:tcPr>
            <w:tcW w:w="0" w:type="auto"/>
            <w:vAlign w:val="center"/>
          </w:tcPr>
          <w:p w:rsidR="008F03B5" w:rsidRPr="00E2283E" w:rsidRDefault="008F03B5" w:rsidP="00E2283E">
            <w:pPr>
              <w:rPr>
                <w:lang/>
              </w:rPr>
            </w:pPr>
            <w:r w:rsidRPr="00E2283E">
              <w:rPr>
                <w:lang/>
              </w:rPr>
              <w:t>30.68 ± 5.67ª</w:t>
            </w:r>
          </w:p>
        </w:tc>
        <w:tc>
          <w:tcPr>
            <w:tcW w:w="0" w:type="auto"/>
            <w:vAlign w:val="center"/>
          </w:tcPr>
          <w:p w:rsidR="008F03B5" w:rsidRPr="00E2283E" w:rsidRDefault="008F03B5" w:rsidP="00E2283E">
            <w:pPr>
              <w:rPr>
                <w:lang/>
              </w:rPr>
            </w:pPr>
            <w:r w:rsidRPr="00E2283E">
              <w:rPr>
                <w:lang/>
              </w:rPr>
              <w:t>25.60 ± 4.82 ª</w:t>
            </w:r>
          </w:p>
        </w:tc>
        <w:tc>
          <w:tcPr>
            <w:tcW w:w="0" w:type="auto"/>
            <w:vAlign w:val="center"/>
          </w:tcPr>
          <w:p w:rsidR="008F03B5" w:rsidRPr="00E2283E" w:rsidRDefault="008F03B5" w:rsidP="00E2283E">
            <w:pPr>
              <w:rPr>
                <w:lang/>
              </w:rPr>
            </w:pPr>
            <w:r w:rsidRPr="00E2283E">
              <w:rPr>
                <w:lang/>
              </w:rPr>
              <w:t>21.47 ± 5.00 ª</w:t>
            </w:r>
          </w:p>
        </w:tc>
        <w:tc>
          <w:tcPr>
            <w:tcW w:w="0" w:type="auto"/>
            <w:vAlign w:val="center"/>
          </w:tcPr>
          <w:p w:rsidR="008F03B5" w:rsidRPr="00E2283E" w:rsidRDefault="008F03B5" w:rsidP="00E2283E">
            <w:pPr>
              <w:rPr>
                <w:lang/>
              </w:rPr>
            </w:pPr>
            <w:r w:rsidRPr="00E2283E">
              <w:rPr>
                <w:lang/>
              </w:rPr>
              <w:t>&lt;0.001</w:t>
            </w:r>
          </w:p>
        </w:tc>
      </w:tr>
    </w:tbl>
    <w:p w:rsidR="008F03B5" w:rsidRPr="00E2283E" w:rsidRDefault="008F03B5" w:rsidP="00E2283E">
      <w:pPr>
        <w:bidi w:val="0"/>
        <w:spacing w:after="0" w:line="360" w:lineRule="auto"/>
        <w:ind w:firstLine="425"/>
        <w:jc w:val="both"/>
        <w:rPr>
          <w:lang/>
        </w:rPr>
      </w:pPr>
      <w:r w:rsidRPr="00E2283E">
        <w:rPr>
          <w:lang/>
        </w:rPr>
        <w:t>*:  Child Pugh classes sharing the same letter (ª) are significantly different from each others (p&lt;0.05).</w:t>
      </w:r>
    </w:p>
    <w:p w:rsidR="008F03B5" w:rsidRPr="00E2283E" w:rsidRDefault="008F03B5" w:rsidP="00E2283E">
      <w:pPr>
        <w:bidi w:val="0"/>
        <w:spacing w:after="0" w:line="360" w:lineRule="auto"/>
        <w:ind w:firstLine="425"/>
        <w:jc w:val="both"/>
        <w:rPr>
          <w:lang/>
        </w:rPr>
      </w:pPr>
      <w:r w:rsidRPr="00E2283E">
        <w:rPr>
          <w:lang/>
        </w:rPr>
        <w:t>Comparison of means of IGF-1 level between Child Pugh classes was demonstrated in table (4).  Results showed that IGF-1 level was significantly lower in Child Pugh C compared to Child Pugh B and A. Moreover, IGF-1 level was significantly lower in child Pugh B compared to Child Pugh A.</w:t>
      </w:r>
    </w:p>
    <w:p w:rsidR="008F03B5" w:rsidRPr="00E2283E" w:rsidRDefault="008F03B5" w:rsidP="00E2283E">
      <w:pPr>
        <w:bidi w:val="0"/>
        <w:spacing w:after="0" w:line="360" w:lineRule="auto"/>
        <w:ind w:firstLine="425"/>
        <w:jc w:val="both"/>
        <w:rPr>
          <w:lang/>
        </w:rPr>
      </w:pPr>
      <w:r w:rsidRPr="00E2283E">
        <w:rPr>
          <w:lang/>
        </w:rPr>
        <w:t>Table (5): Correlation between anthropometric parameters z scores and serum IGF-1 level</w:t>
      </w:r>
    </w:p>
    <w:tbl>
      <w:tblPr>
        <w:tblW w:w="8504" w:type="dxa"/>
        <w:jc w:val="center"/>
        <w:tblLayout w:type="fixed"/>
        <w:tblLook w:val="00A0"/>
      </w:tblPr>
      <w:tblGrid>
        <w:gridCol w:w="3943"/>
        <w:gridCol w:w="2566"/>
        <w:gridCol w:w="1995"/>
      </w:tblGrid>
      <w:tr w:rsidR="008F03B5" w:rsidRPr="00E2283E" w:rsidTr="00E2283E">
        <w:trPr>
          <w:trHeight w:val="345"/>
          <w:jc w:val="center"/>
        </w:trPr>
        <w:tc>
          <w:tcPr>
            <w:tcW w:w="2452" w:type="dxa"/>
            <w:vMerge w:val="restart"/>
            <w:tcBorders>
              <w:top w:val="single" w:sz="12" w:space="0" w:color="000000"/>
              <w:left w:val="single" w:sz="12" w:space="0" w:color="000000"/>
              <w:right w:val="single" w:sz="12" w:space="0" w:color="000000"/>
            </w:tcBorders>
            <w:shd w:val="clear" w:color="auto" w:fill="FFFFFF"/>
          </w:tcPr>
          <w:p w:rsidR="008F03B5" w:rsidRPr="00E2283E" w:rsidRDefault="008F03B5" w:rsidP="00E2283E">
            <w:pPr>
              <w:rPr>
                <w:lang/>
              </w:rPr>
            </w:pPr>
            <w:r w:rsidRPr="00E2283E">
              <w:rPr>
                <w:lang/>
              </w:rPr>
              <w:t>Anthropometric parameters</w:t>
            </w:r>
          </w:p>
        </w:tc>
        <w:tc>
          <w:tcPr>
            <w:tcW w:w="2835" w:type="dxa"/>
            <w:gridSpan w:val="2"/>
            <w:tcBorders>
              <w:top w:val="single" w:sz="12" w:space="0" w:color="000000"/>
              <w:left w:val="nil"/>
              <w:bottom w:val="single" w:sz="12" w:space="0" w:color="000000"/>
              <w:right w:val="single" w:sz="12" w:space="0" w:color="000000"/>
            </w:tcBorders>
            <w:shd w:val="clear" w:color="auto" w:fill="FFFFFF"/>
            <w:vAlign w:val="bottom"/>
          </w:tcPr>
          <w:p w:rsidR="008F03B5" w:rsidRPr="00E2283E" w:rsidRDefault="008F03B5" w:rsidP="00E2283E">
            <w:pPr>
              <w:rPr>
                <w:lang/>
              </w:rPr>
            </w:pPr>
            <w:r w:rsidRPr="00E2283E">
              <w:rPr>
                <w:lang/>
              </w:rPr>
              <w:t>IGF1</w:t>
            </w:r>
          </w:p>
        </w:tc>
      </w:tr>
      <w:tr w:rsidR="008F03B5" w:rsidRPr="00E2283E" w:rsidTr="00E2283E">
        <w:trPr>
          <w:cantSplit/>
          <w:trHeight w:val="315"/>
          <w:jc w:val="center"/>
        </w:trPr>
        <w:tc>
          <w:tcPr>
            <w:tcW w:w="2452" w:type="dxa"/>
            <w:vMerge/>
            <w:tcBorders>
              <w:left w:val="single" w:sz="12" w:space="0" w:color="000000"/>
              <w:bottom w:val="single" w:sz="12" w:space="0" w:color="000000"/>
              <w:right w:val="single" w:sz="12" w:space="0" w:color="000000"/>
            </w:tcBorders>
            <w:shd w:val="clear" w:color="auto" w:fill="FFFFFF"/>
          </w:tcPr>
          <w:p w:rsidR="008F03B5" w:rsidRPr="00E2283E" w:rsidRDefault="008F03B5" w:rsidP="00E2283E">
            <w:pPr>
              <w:rPr>
                <w:lang/>
              </w:rPr>
            </w:pPr>
          </w:p>
        </w:tc>
        <w:tc>
          <w:tcPr>
            <w:tcW w:w="1595" w:type="dxa"/>
            <w:tcBorders>
              <w:top w:val="nil"/>
              <w:left w:val="nil"/>
              <w:bottom w:val="single" w:sz="12" w:space="0" w:color="000000"/>
              <w:right w:val="single" w:sz="12" w:space="0" w:color="000000"/>
            </w:tcBorders>
            <w:shd w:val="clear" w:color="auto" w:fill="FFFFFF"/>
            <w:vAlign w:val="center"/>
          </w:tcPr>
          <w:p w:rsidR="008F03B5" w:rsidRPr="00E2283E" w:rsidRDefault="008F03B5" w:rsidP="00E2283E">
            <w:pPr>
              <w:rPr>
                <w:lang/>
              </w:rPr>
            </w:pPr>
            <w:r w:rsidRPr="00E2283E">
              <w:rPr>
                <w:lang/>
              </w:rPr>
              <w:t>r</w:t>
            </w:r>
          </w:p>
        </w:tc>
        <w:tc>
          <w:tcPr>
            <w:tcW w:w="1240" w:type="dxa"/>
            <w:tcBorders>
              <w:top w:val="nil"/>
              <w:left w:val="nil"/>
              <w:bottom w:val="single" w:sz="12" w:space="0" w:color="000000"/>
              <w:right w:val="single" w:sz="12" w:space="0" w:color="000000"/>
            </w:tcBorders>
            <w:shd w:val="clear" w:color="auto" w:fill="FFFFFF"/>
            <w:vAlign w:val="center"/>
          </w:tcPr>
          <w:p w:rsidR="008F03B5" w:rsidRPr="00E2283E" w:rsidRDefault="008F03B5" w:rsidP="00E2283E">
            <w:pPr>
              <w:rPr>
                <w:lang/>
              </w:rPr>
            </w:pPr>
            <w:r w:rsidRPr="00E2283E">
              <w:rPr>
                <w:lang/>
              </w:rPr>
              <w:t>P- value</w:t>
            </w:r>
          </w:p>
        </w:tc>
      </w:tr>
      <w:tr w:rsidR="008F03B5" w:rsidRPr="00E2283E" w:rsidTr="00E2283E">
        <w:trPr>
          <w:cantSplit/>
          <w:trHeight w:val="315"/>
          <w:jc w:val="center"/>
        </w:trPr>
        <w:tc>
          <w:tcPr>
            <w:tcW w:w="2452" w:type="dxa"/>
            <w:tcBorders>
              <w:top w:val="nil"/>
              <w:left w:val="single" w:sz="12" w:space="0" w:color="000000"/>
              <w:bottom w:val="single" w:sz="12" w:space="0" w:color="000000"/>
              <w:right w:val="single" w:sz="12" w:space="0" w:color="000000"/>
            </w:tcBorders>
            <w:shd w:val="clear" w:color="auto" w:fill="FFFFFF"/>
          </w:tcPr>
          <w:p w:rsidR="008F03B5" w:rsidRPr="00E2283E" w:rsidRDefault="008F03B5" w:rsidP="00E2283E">
            <w:pPr>
              <w:rPr>
                <w:lang/>
              </w:rPr>
            </w:pPr>
            <w:r w:rsidRPr="00E2283E">
              <w:rPr>
                <w:lang/>
              </w:rPr>
              <w:t>Wt z score</w:t>
            </w:r>
          </w:p>
        </w:tc>
        <w:tc>
          <w:tcPr>
            <w:tcW w:w="1595" w:type="dxa"/>
            <w:tcBorders>
              <w:top w:val="nil"/>
              <w:left w:val="nil"/>
              <w:bottom w:val="single" w:sz="12" w:space="0" w:color="000000"/>
              <w:right w:val="single" w:sz="12" w:space="0" w:color="000000"/>
            </w:tcBorders>
            <w:shd w:val="clear" w:color="auto" w:fill="FFFFFF"/>
            <w:vAlign w:val="center"/>
          </w:tcPr>
          <w:p w:rsidR="008F03B5" w:rsidRPr="00E2283E" w:rsidRDefault="008F03B5" w:rsidP="00E2283E">
            <w:pPr>
              <w:rPr>
                <w:lang/>
              </w:rPr>
            </w:pPr>
            <w:r w:rsidRPr="00E2283E">
              <w:rPr>
                <w:lang/>
              </w:rPr>
              <w:t>0.119</w:t>
            </w:r>
          </w:p>
        </w:tc>
        <w:tc>
          <w:tcPr>
            <w:tcW w:w="1240" w:type="dxa"/>
            <w:tcBorders>
              <w:top w:val="nil"/>
              <w:left w:val="nil"/>
              <w:bottom w:val="single" w:sz="12" w:space="0" w:color="000000"/>
              <w:right w:val="single" w:sz="12" w:space="0" w:color="000000"/>
            </w:tcBorders>
            <w:shd w:val="clear" w:color="auto" w:fill="FFFFFF"/>
            <w:vAlign w:val="center"/>
          </w:tcPr>
          <w:p w:rsidR="008F03B5" w:rsidRPr="00E2283E" w:rsidRDefault="008F03B5" w:rsidP="00E2283E">
            <w:pPr>
              <w:rPr>
                <w:lang/>
              </w:rPr>
            </w:pPr>
            <w:r w:rsidRPr="00E2283E">
              <w:rPr>
                <w:lang/>
              </w:rPr>
              <w:t>0.411</w:t>
            </w:r>
          </w:p>
        </w:tc>
      </w:tr>
      <w:tr w:rsidR="008F03B5" w:rsidRPr="00E2283E" w:rsidTr="00E2283E">
        <w:trPr>
          <w:cantSplit/>
          <w:trHeight w:val="315"/>
          <w:jc w:val="center"/>
        </w:trPr>
        <w:tc>
          <w:tcPr>
            <w:tcW w:w="2452" w:type="dxa"/>
            <w:tcBorders>
              <w:top w:val="nil"/>
              <w:left w:val="single" w:sz="12" w:space="0" w:color="000000"/>
              <w:bottom w:val="single" w:sz="12" w:space="0" w:color="000000"/>
              <w:right w:val="single" w:sz="12" w:space="0" w:color="000000"/>
            </w:tcBorders>
            <w:shd w:val="clear" w:color="auto" w:fill="FFFFFF"/>
          </w:tcPr>
          <w:p w:rsidR="008F03B5" w:rsidRPr="00E2283E" w:rsidRDefault="008F03B5" w:rsidP="00E2283E">
            <w:pPr>
              <w:rPr>
                <w:lang/>
              </w:rPr>
            </w:pPr>
            <w:r w:rsidRPr="00E2283E">
              <w:rPr>
                <w:lang/>
              </w:rPr>
              <w:t>Ht z score</w:t>
            </w:r>
          </w:p>
        </w:tc>
        <w:tc>
          <w:tcPr>
            <w:tcW w:w="1595" w:type="dxa"/>
            <w:tcBorders>
              <w:top w:val="nil"/>
              <w:left w:val="nil"/>
              <w:bottom w:val="single" w:sz="12" w:space="0" w:color="000000"/>
              <w:right w:val="single" w:sz="12" w:space="0" w:color="000000"/>
            </w:tcBorders>
            <w:shd w:val="clear" w:color="auto" w:fill="FFFFFF"/>
            <w:vAlign w:val="center"/>
          </w:tcPr>
          <w:p w:rsidR="008F03B5" w:rsidRPr="00E2283E" w:rsidRDefault="008F03B5" w:rsidP="00E2283E">
            <w:pPr>
              <w:rPr>
                <w:lang/>
              </w:rPr>
            </w:pPr>
            <w:r w:rsidRPr="00E2283E">
              <w:rPr>
                <w:lang/>
              </w:rPr>
              <w:t>-0.005</w:t>
            </w:r>
          </w:p>
        </w:tc>
        <w:tc>
          <w:tcPr>
            <w:tcW w:w="1240" w:type="dxa"/>
            <w:tcBorders>
              <w:top w:val="nil"/>
              <w:left w:val="nil"/>
              <w:bottom w:val="single" w:sz="12" w:space="0" w:color="000000"/>
              <w:right w:val="single" w:sz="12" w:space="0" w:color="000000"/>
            </w:tcBorders>
            <w:shd w:val="clear" w:color="auto" w:fill="FFFFFF"/>
            <w:vAlign w:val="center"/>
          </w:tcPr>
          <w:p w:rsidR="008F03B5" w:rsidRPr="00E2283E" w:rsidRDefault="008F03B5" w:rsidP="00E2283E">
            <w:pPr>
              <w:rPr>
                <w:lang/>
              </w:rPr>
            </w:pPr>
            <w:r w:rsidRPr="00E2283E">
              <w:rPr>
                <w:lang/>
              </w:rPr>
              <w:t>0.972</w:t>
            </w:r>
          </w:p>
        </w:tc>
      </w:tr>
      <w:tr w:rsidR="008F03B5" w:rsidRPr="00E2283E" w:rsidTr="00E2283E">
        <w:trPr>
          <w:cantSplit/>
          <w:trHeight w:val="315"/>
          <w:jc w:val="center"/>
        </w:trPr>
        <w:tc>
          <w:tcPr>
            <w:tcW w:w="2452" w:type="dxa"/>
            <w:tcBorders>
              <w:top w:val="nil"/>
              <w:left w:val="single" w:sz="12" w:space="0" w:color="000000"/>
              <w:bottom w:val="single" w:sz="12" w:space="0" w:color="000000"/>
              <w:right w:val="single" w:sz="12" w:space="0" w:color="000000"/>
            </w:tcBorders>
            <w:shd w:val="clear" w:color="auto" w:fill="FFFFFF"/>
          </w:tcPr>
          <w:p w:rsidR="008F03B5" w:rsidRPr="00E2283E" w:rsidRDefault="008F03B5" w:rsidP="00E2283E">
            <w:pPr>
              <w:rPr>
                <w:lang/>
              </w:rPr>
            </w:pPr>
            <w:r w:rsidRPr="00E2283E">
              <w:rPr>
                <w:lang/>
              </w:rPr>
              <w:t>Wt/Ht  z score</w:t>
            </w:r>
          </w:p>
        </w:tc>
        <w:tc>
          <w:tcPr>
            <w:tcW w:w="1595" w:type="dxa"/>
            <w:tcBorders>
              <w:top w:val="nil"/>
              <w:left w:val="nil"/>
              <w:bottom w:val="single" w:sz="12" w:space="0" w:color="000000"/>
              <w:right w:val="single" w:sz="12" w:space="0" w:color="000000"/>
            </w:tcBorders>
            <w:shd w:val="clear" w:color="auto" w:fill="FFFFFF"/>
            <w:vAlign w:val="center"/>
          </w:tcPr>
          <w:p w:rsidR="008F03B5" w:rsidRPr="00E2283E" w:rsidRDefault="008F03B5" w:rsidP="00E2283E">
            <w:pPr>
              <w:rPr>
                <w:lang/>
              </w:rPr>
            </w:pPr>
            <w:r w:rsidRPr="00E2283E">
              <w:rPr>
                <w:lang/>
              </w:rPr>
              <w:t>0.067</w:t>
            </w:r>
          </w:p>
        </w:tc>
        <w:tc>
          <w:tcPr>
            <w:tcW w:w="1240" w:type="dxa"/>
            <w:tcBorders>
              <w:top w:val="nil"/>
              <w:left w:val="nil"/>
              <w:bottom w:val="single" w:sz="12" w:space="0" w:color="000000"/>
              <w:right w:val="single" w:sz="12" w:space="0" w:color="000000"/>
            </w:tcBorders>
            <w:shd w:val="clear" w:color="auto" w:fill="FFFFFF"/>
            <w:vAlign w:val="center"/>
          </w:tcPr>
          <w:p w:rsidR="008F03B5" w:rsidRPr="00E2283E" w:rsidRDefault="008F03B5" w:rsidP="00E2283E">
            <w:pPr>
              <w:rPr>
                <w:lang/>
              </w:rPr>
            </w:pPr>
            <w:r w:rsidRPr="00E2283E">
              <w:rPr>
                <w:lang/>
              </w:rPr>
              <w:t>0.645</w:t>
            </w:r>
          </w:p>
        </w:tc>
      </w:tr>
      <w:tr w:rsidR="008F03B5" w:rsidRPr="00E2283E" w:rsidTr="00E2283E">
        <w:trPr>
          <w:cantSplit/>
          <w:trHeight w:val="315"/>
          <w:jc w:val="center"/>
        </w:trPr>
        <w:tc>
          <w:tcPr>
            <w:tcW w:w="2452" w:type="dxa"/>
            <w:tcBorders>
              <w:top w:val="nil"/>
              <w:left w:val="single" w:sz="12" w:space="0" w:color="000000"/>
              <w:bottom w:val="single" w:sz="12" w:space="0" w:color="000000"/>
              <w:right w:val="single" w:sz="12" w:space="0" w:color="000000"/>
            </w:tcBorders>
            <w:shd w:val="clear" w:color="auto" w:fill="FFFFFF"/>
          </w:tcPr>
          <w:p w:rsidR="008F03B5" w:rsidRPr="00E2283E" w:rsidRDefault="008F03B5" w:rsidP="00E2283E">
            <w:pPr>
              <w:rPr>
                <w:lang/>
              </w:rPr>
            </w:pPr>
            <w:r w:rsidRPr="00E2283E">
              <w:rPr>
                <w:lang/>
              </w:rPr>
              <w:t>MUAC z score</w:t>
            </w:r>
          </w:p>
        </w:tc>
        <w:tc>
          <w:tcPr>
            <w:tcW w:w="1595" w:type="dxa"/>
            <w:tcBorders>
              <w:top w:val="nil"/>
              <w:left w:val="nil"/>
              <w:bottom w:val="single" w:sz="12" w:space="0" w:color="000000"/>
              <w:right w:val="single" w:sz="12" w:space="0" w:color="000000"/>
            </w:tcBorders>
            <w:shd w:val="clear" w:color="auto" w:fill="FFFFFF"/>
            <w:vAlign w:val="center"/>
          </w:tcPr>
          <w:p w:rsidR="008F03B5" w:rsidRPr="00E2283E" w:rsidRDefault="008F03B5" w:rsidP="00E2283E">
            <w:pPr>
              <w:rPr>
                <w:lang/>
              </w:rPr>
            </w:pPr>
            <w:r w:rsidRPr="00E2283E">
              <w:rPr>
                <w:lang/>
              </w:rPr>
              <w:t>0.044</w:t>
            </w:r>
          </w:p>
        </w:tc>
        <w:tc>
          <w:tcPr>
            <w:tcW w:w="1240" w:type="dxa"/>
            <w:tcBorders>
              <w:top w:val="nil"/>
              <w:left w:val="nil"/>
              <w:bottom w:val="single" w:sz="12" w:space="0" w:color="000000"/>
              <w:right w:val="single" w:sz="12" w:space="0" w:color="000000"/>
            </w:tcBorders>
            <w:shd w:val="clear" w:color="auto" w:fill="FFFFFF"/>
            <w:vAlign w:val="center"/>
          </w:tcPr>
          <w:p w:rsidR="008F03B5" w:rsidRPr="00E2283E" w:rsidRDefault="008F03B5" w:rsidP="00E2283E">
            <w:pPr>
              <w:rPr>
                <w:lang/>
              </w:rPr>
            </w:pPr>
            <w:r w:rsidRPr="00E2283E">
              <w:rPr>
                <w:lang/>
              </w:rPr>
              <w:t>0.763</w:t>
            </w:r>
          </w:p>
        </w:tc>
      </w:tr>
      <w:tr w:rsidR="008F03B5" w:rsidRPr="00E2283E" w:rsidTr="00E2283E">
        <w:trPr>
          <w:cantSplit/>
          <w:trHeight w:val="315"/>
          <w:jc w:val="center"/>
        </w:trPr>
        <w:tc>
          <w:tcPr>
            <w:tcW w:w="2452" w:type="dxa"/>
            <w:tcBorders>
              <w:top w:val="nil"/>
              <w:left w:val="single" w:sz="12" w:space="0" w:color="000000"/>
              <w:bottom w:val="single" w:sz="12" w:space="0" w:color="000000"/>
              <w:right w:val="single" w:sz="12" w:space="0" w:color="000000"/>
            </w:tcBorders>
            <w:shd w:val="clear" w:color="auto" w:fill="FFFFFF"/>
          </w:tcPr>
          <w:p w:rsidR="008F03B5" w:rsidRPr="00E2283E" w:rsidRDefault="008F03B5" w:rsidP="00E2283E">
            <w:pPr>
              <w:rPr>
                <w:lang/>
              </w:rPr>
            </w:pPr>
            <w:r w:rsidRPr="00E2283E">
              <w:rPr>
                <w:lang/>
              </w:rPr>
              <w:t>TSFT z score</w:t>
            </w:r>
          </w:p>
        </w:tc>
        <w:tc>
          <w:tcPr>
            <w:tcW w:w="1595" w:type="dxa"/>
            <w:tcBorders>
              <w:top w:val="nil"/>
              <w:left w:val="nil"/>
              <w:bottom w:val="single" w:sz="12" w:space="0" w:color="000000"/>
              <w:right w:val="single" w:sz="12" w:space="0" w:color="000000"/>
            </w:tcBorders>
            <w:shd w:val="clear" w:color="auto" w:fill="FFFFFF"/>
            <w:vAlign w:val="center"/>
          </w:tcPr>
          <w:p w:rsidR="008F03B5" w:rsidRPr="00E2283E" w:rsidRDefault="008F03B5" w:rsidP="00E2283E">
            <w:pPr>
              <w:rPr>
                <w:lang/>
              </w:rPr>
            </w:pPr>
            <w:r w:rsidRPr="00E2283E">
              <w:rPr>
                <w:lang/>
              </w:rPr>
              <w:t>0.188</w:t>
            </w:r>
          </w:p>
        </w:tc>
        <w:tc>
          <w:tcPr>
            <w:tcW w:w="1240" w:type="dxa"/>
            <w:tcBorders>
              <w:top w:val="nil"/>
              <w:left w:val="nil"/>
              <w:bottom w:val="single" w:sz="12" w:space="0" w:color="000000"/>
              <w:right w:val="single" w:sz="12" w:space="0" w:color="000000"/>
            </w:tcBorders>
            <w:shd w:val="clear" w:color="auto" w:fill="FFFFFF"/>
            <w:vAlign w:val="center"/>
          </w:tcPr>
          <w:p w:rsidR="008F03B5" w:rsidRPr="00E2283E" w:rsidRDefault="008F03B5" w:rsidP="00E2283E">
            <w:pPr>
              <w:rPr>
                <w:lang/>
              </w:rPr>
            </w:pPr>
            <w:r w:rsidRPr="00E2283E">
              <w:rPr>
                <w:lang/>
              </w:rPr>
              <w:t>0.191</w:t>
            </w:r>
          </w:p>
        </w:tc>
      </w:tr>
      <w:tr w:rsidR="008F03B5" w:rsidRPr="00E2283E" w:rsidTr="00E2283E">
        <w:trPr>
          <w:cantSplit/>
          <w:trHeight w:val="315"/>
          <w:jc w:val="center"/>
        </w:trPr>
        <w:tc>
          <w:tcPr>
            <w:tcW w:w="2452" w:type="dxa"/>
            <w:tcBorders>
              <w:top w:val="nil"/>
              <w:left w:val="single" w:sz="12" w:space="0" w:color="000000"/>
              <w:bottom w:val="single" w:sz="12" w:space="0" w:color="000000"/>
              <w:right w:val="single" w:sz="12" w:space="0" w:color="000000"/>
            </w:tcBorders>
            <w:shd w:val="clear" w:color="auto" w:fill="FFFFFF"/>
          </w:tcPr>
          <w:p w:rsidR="008F03B5" w:rsidRPr="00E2283E" w:rsidRDefault="008F03B5" w:rsidP="00E2283E">
            <w:pPr>
              <w:rPr>
                <w:lang/>
              </w:rPr>
            </w:pPr>
            <w:r w:rsidRPr="00E2283E">
              <w:rPr>
                <w:lang/>
              </w:rPr>
              <w:t>SSFT z score</w:t>
            </w:r>
          </w:p>
        </w:tc>
        <w:tc>
          <w:tcPr>
            <w:tcW w:w="1595" w:type="dxa"/>
            <w:tcBorders>
              <w:top w:val="nil"/>
              <w:left w:val="nil"/>
              <w:bottom w:val="single" w:sz="12" w:space="0" w:color="000000"/>
              <w:right w:val="single" w:sz="12" w:space="0" w:color="000000"/>
            </w:tcBorders>
            <w:shd w:val="clear" w:color="auto" w:fill="FFFFFF"/>
            <w:vAlign w:val="center"/>
          </w:tcPr>
          <w:p w:rsidR="008F03B5" w:rsidRPr="00E2283E" w:rsidRDefault="008F03B5" w:rsidP="00E2283E">
            <w:pPr>
              <w:rPr>
                <w:lang/>
              </w:rPr>
            </w:pPr>
            <w:r w:rsidRPr="00E2283E">
              <w:rPr>
                <w:lang/>
              </w:rPr>
              <w:t>0.165</w:t>
            </w:r>
          </w:p>
        </w:tc>
        <w:tc>
          <w:tcPr>
            <w:tcW w:w="1240" w:type="dxa"/>
            <w:tcBorders>
              <w:top w:val="nil"/>
              <w:left w:val="nil"/>
              <w:bottom w:val="single" w:sz="12" w:space="0" w:color="000000"/>
              <w:right w:val="single" w:sz="12" w:space="0" w:color="000000"/>
            </w:tcBorders>
            <w:shd w:val="clear" w:color="auto" w:fill="FFFFFF"/>
            <w:vAlign w:val="center"/>
          </w:tcPr>
          <w:p w:rsidR="008F03B5" w:rsidRPr="00E2283E" w:rsidRDefault="008F03B5" w:rsidP="00E2283E">
            <w:pPr>
              <w:rPr>
                <w:lang/>
              </w:rPr>
            </w:pPr>
            <w:r w:rsidRPr="00E2283E">
              <w:rPr>
                <w:lang/>
              </w:rPr>
              <w:t>0.252</w:t>
            </w:r>
          </w:p>
        </w:tc>
      </w:tr>
      <w:tr w:rsidR="008F03B5" w:rsidRPr="00E2283E" w:rsidTr="00E2283E">
        <w:trPr>
          <w:cantSplit/>
          <w:trHeight w:val="315"/>
          <w:jc w:val="center"/>
        </w:trPr>
        <w:tc>
          <w:tcPr>
            <w:tcW w:w="2452" w:type="dxa"/>
            <w:tcBorders>
              <w:top w:val="nil"/>
              <w:left w:val="single" w:sz="12" w:space="0" w:color="000000"/>
              <w:bottom w:val="single" w:sz="12" w:space="0" w:color="000000"/>
              <w:right w:val="single" w:sz="12" w:space="0" w:color="000000"/>
            </w:tcBorders>
            <w:shd w:val="clear" w:color="auto" w:fill="FFFFFF"/>
          </w:tcPr>
          <w:p w:rsidR="008F03B5" w:rsidRPr="00E2283E" w:rsidRDefault="008F03B5" w:rsidP="00E2283E">
            <w:pPr>
              <w:rPr>
                <w:lang/>
              </w:rPr>
            </w:pPr>
            <w:r w:rsidRPr="00E2283E">
              <w:rPr>
                <w:lang/>
              </w:rPr>
              <w:t>TUAA  z score</w:t>
            </w:r>
          </w:p>
        </w:tc>
        <w:tc>
          <w:tcPr>
            <w:tcW w:w="1595" w:type="dxa"/>
            <w:tcBorders>
              <w:top w:val="nil"/>
              <w:left w:val="nil"/>
              <w:bottom w:val="single" w:sz="12" w:space="0" w:color="000000"/>
              <w:right w:val="single" w:sz="12" w:space="0" w:color="000000"/>
            </w:tcBorders>
            <w:shd w:val="clear" w:color="auto" w:fill="FFFFFF"/>
            <w:vAlign w:val="center"/>
          </w:tcPr>
          <w:p w:rsidR="008F03B5" w:rsidRPr="00E2283E" w:rsidRDefault="008F03B5" w:rsidP="00E2283E">
            <w:pPr>
              <w:rPr>
                <w:lang/>
              </w:rPr>
            </w:pPr>
            <w:r w:rsidRPr="00E2283E">
              <w:rPr>
                <w:lang/>
              </w:rPr>
              <w:t>0.038</w:t>
            </w:r>
          </w:p>
        </w:tc>
        <w:tc>
          <w:tcPr>
            <w:tcW w:w="1240" w:type="dxa"/>
            <w:tcBorders>
              <w:top w:val="nil"/>
              <w:left w:val="nil"/>
              <w:bottom w:val="single" w:sz="12" w:space="0" w:color="000000"/>
              <w:right w:val="single" w:sz="12" w:space="0" w:color="000000"/>
            </w:tcBorders>
            <w:shd w:val="clear" w:color="auto" w:fill="FFFFFF"/>
            <w:vAlign w:val="center"/>
          </w:tcPr>
          <w:p w:rsidR="008F03B5" w:rsidRPr="00E2283E" w:rsidRDefault="008F03B5" w:rsidP="00E2283E">
            <w:pPr>
              <w:rPr>
                <w:lang/>
              </w:rPr>
            </w:pPr>
            <w:r w:rsidRPr="00E2283E">
              <w:rPr>
                <w:lang/>
              </w:rPr>
              <w:t>0.794</w:t>
            </w:r>
          </w:p>
        </w:tc>
      </w:tr>
      <w:tr w:rsidR="008F03B5" w:rsidRPr="00E2283E" w:rsidTr="00E2283E">
        <w:trPr>
          <w:cantSplit/>
          <w:trHeight w:val="315"/>
          <w:jc w:val="center"/>
        </w:trPr>
        <w:tc>
          <w:tcPr>
            <w:tcW w:w="2452" w:type="dxa"/>
            <w:tcBorders>
              <w:top w:val="nil"/>
              <w:left w:val="single" w:sz="12" w:space="0" w:color="000000"/>
              <w:bottom w:val="single" w:sz="12" w:space="0" w:color="000000"/>
              <w:right w:val="single" w:sz="12" w:space="0" w:color="000000"/>
            </w:tcBorders>
            <w:shd w:val="clear" w:color="auto" w:fill="FFFFFF"/>
          </w:tcPr>
          <w:p w:rsidR="008F03B5" w:rsidRPr="00E2283E" w:rsidRDefault="008F03B5" w:rsidP="00E2283E">
            <w:pPr>
              <w:rPr>
                <w:lang/>
              </w:rPr>
            </w:pPr>
            <w:r w:rsidRPr="00E2283E">
              <w:rPr>
                <w:lang/>
              </w:rPr>
              <w:t>MUAMA z score</w:t>
            </w:r>
          </w:p>
        </w:tc>
        <w:tc>
          <w:tcPr>
            <w:tcW w:w="1595" w:type="dxa"/>
            <w:tcBorders>
              <w:top w:val="nil"/>
              <w:left w:val="nil"/>
              <w:bottom w:val="single" w:sz="12" w:space="0" w:color="000000"/>
              <w:right w:val="single" w:sz="12" w:space="0" w:color="000000"/>
            </w:tcBorders>
            <w:shd w:val="clear" w:color="auto" w:fill="FFFFFF"/>
            <w:vAlign w:val="center"/>
          </w:tcPr>
          <w:p w:rsidR="008F03B5" w:rsidRPr="00E2283E" w:rsidRDefault="008F03B5" w:rsidP="00E2283E">
            <w:pPr>
              <w:rPr>
                <w:lang/>
              </w:rPr>
            </w:pPr>
            <w:r w:rsidRPr="00E2283E">
              <w:rPr>
                <w:lang/>
              </w:rPr>
              <w:t>-0.098</w:t>
            </w:r>
          </w:p>
        </w:tc>
        <w:tc>
          <w:tcPr>
            <w:tcW w:w="1240" w:type="dxa"/>
            <w:tcBorders>
              <w:top w:val="nil"/>
              <w:left w:val="nil"/>
              <w:bottom w:val="single" w:sz="12" w:space="0" w:color="000000"/>
              <w:right w:val="single" w:sz="12" w:space="0" w:color="000000"/>
            </w:tcBorders>
            <w:shd w:val="clear" w:color="auto" w:fill="FFFFFF"/>
            <w:vAlign w:val="center"/>
          </w:tcPr>
          <w:p w:rsidR="008F03B5" w:rsidRPr="00E2283E" w:rsidRDefault="008F03B5" w:rsidP="00E2283E">
            <w:pPr>
              <w:rPr>
                <w:lang/>
              </w:rPr>
            </w:pPr>
            <w:r w:rsidRPr="00E2283E">
              <w:rPr>
                <w:lang/>
              </w:rPr>
              <w:t>0.497</w:t>
            </w:r>
          </w:p>
        </w:tc>
      </w:tr>
      <w:tr w:rsidR="008F03B5" w:rsidRPr="00E2283E" w:rsidTr="00E2283E">
        <w:trPr>
          <w:cantSplit/>
          <w:trHeight w:val="315"/>
          <w:jc w:val="center"/>
        </w:trPr>
        <w:tc>
          <w:tcPr>
            <w:tcW w:w="2452" w:type="dxa"/>
            <w:tcBorders>
              <w:top w:val="nil"/>
              <w:left w:val="single" w:sz="12" w:space="0" w:color="000000"/>
              <w:bottom w:val="single" w:sz="12" w:space="0" w:color="000000"/>
              <w:right w:val="single" w:sz="12" w:space="0" w:color="000000"/>
            </w:tcBorders>
            <w:shd w:val="clear" w:color="auto" w:fill="FFFFFF"/>
          </w:tcPr>
          <w:p w:rsidR="008F03B5" w:rsidRPr="00E2283E" w:rsidRDefault="008F03B5" w:rsidP="00E2283E">
            <w:pPr>
              <w:rPr>
                <w:lang/>
              </w:rPr>
            </w:pPr>
            <w:r w:rsidRPr="00E2283E">
              <w:rPr>
                <w:lang/>
              </w:rPr>
              <w:t>MUAFA  z score</w:t>
            </w:r>
          </w:p>
        </w:tc>
        <w:tc>
          <w:tcPr>
            <w:tcW w:w="1595" w:type="dxa"/>
            <w:tcBorders>
              <w:top w:val="nil"/>
              <w:left w:val="nil"/>
              <w:bottom w:val="single" w:sz="12" w:space="0" w:color="000000"/>
              <w:right w:val="single" w:sz="12" w:space="0" w:color="000000"/>
            </w:tcBorders>
            <w:shd w:val="clear" w:color="auto" w:fill="FFFFFF"/>
            <w:vAlign w:val="center"/>
          </w:tcPr>
          <w:p w:rsidR="008F03B5" w:rsidRPr="00E2283E" w:rsidRDefault="008F03B5" w:rsidP="00E2283E">
            <w:pPr>
              <w:rPr>
                <w:lang/>
              </w:rPr>
            </w:pPr>
            <w:r w:rsidRPr="00E2283E">
              <w:rPr>
                <w:lang/>
              </w:rPr>
              <w:t>0.185</w:t>
            </w:r>
          </w:p>
        </w:tc>
        <w:tc>
          <w:tcPr>
            <w:tcW w:w="1240" w:type="dxa"/>
            <w:tcBorders>
              <w:top w:val="nil"/>
              <w:left w:val="nil"/>
              <w:bottom w:val="single" w:sz="12" w:space="0" w:color="000000"/>
              <w:right w:val="single" w:sz="12" w:space="0" w:color="000000"/>
            </w:tcBorders>
            <w:shd w:val="clear" w:color="auto" w:fill="FFFFFF"/>
            <w:vAlign w:val="center"/>
          </w:tcPr>
          <w:p w:rsidR="008F03B5" w:rsidRPr="00E2283E" w:rsidRDefault="008F03B5" w:rsidP="00E2283E">
            <w:pPr>
              <w:rPr>
                <w:lang/>
              </w:rPr>
            </w:pPr>
            <w:r w:rsidRPr="00E2283E">
              <w:rPr>
                <w:lang/>
              </w:rPr>
              <w:t>0.199</w:t>
            </w:r>
          </w:p>
        </w:tc>
      </w:tr>
      <w:tr w:rsidR="008F03B5" w:rsidRPr="00E2283E" w:rsidTr="00E2283E">
        <w:trPr>
          <w:cantSplit/>
          <w:trHeight w:val="315"/>
          <w:jc w:val="center"/>
        </w:trPr>
        <w:tc>
          <w:tcPr>
            <w:tcW w:w="2452" w:type="dxa"/>
            <w:tcBorders>
              <w:top w:val="nil"/>
              <w:left w:val="single" w:sz="12" w:space="0" w:color="000000"/>
              <w:bottom w:val="single" w:sz="12" w:space="0" w:color="000000"/>
              <w:right w:val="single" w:sz="12" w:space="0" w:color="000000"/>
            </w:tcBorders>
            <w:shd w:val="clear" w:color="auto" w:fill="FFFFFF"/>
          </w:tcPr>
          <w:p w:rsidR="008F03B5" w:rsidRPr="00E2283E" w:rsidRDefault="008F03B5" w:rsidP="00E2283E">
            <w:pPr>
              <w:rPr>
                <w:lang/>
              </w:rPr>
            </w:pPr>
            <w:r w:rsidRPr="00E2283E">
              <w:rPr>
                <w:lang/>
              </w:rPr>
              <w:t>AFI z score</w:t>
            </w:r>
          </w:p>
        </w:tc>
        <w:tc>
          <w:tcPr>
            <w:tcW w:w="1595" w:type="dxa"/>
            <w:tcBorders>
              <w:top w:val="nil"/>
              <w:left w:val="nil"/>
              <w:bottom w:val="single" w:sz="12" w:space="0" w:color="000000"/>
              <w:right w:val="single" w:sz="12" w:space="0" w:color="000000"/>
            </w:tcBorders>
            <w:shd w:val="clear" w:color="auto" w:fill="FFFFFF"/>
            <w:vAlign w:val="center"/>
          </w:tcPr>
          <w:p w:rsidR="008F03B5" w:rsidRPr="00E2283E" w:rsidRDefault="008F03B5" w:rsidP="00E2283E">
            <w:pPr>
              <w:rPr>
                <w:lang/>
              </w:rPr>
            </w:pPr>
            <w:r w:rsidRPr="00E2283E">
              <w:rPr>
                <w:lang/>
              </w:rPr>
              <w:t>0.265</w:t>
            </w:r>
          </w:p>
        </w:tc>
        <w:tc>
          <w:tcPr>
            <w:tcW w:w="1240" w:type="dxa"/>
            <w:tcBorders>
              <w:top w:val="nil"/>
              <w:left w:val="nil"/>
              <w:bottom w:val="single" w:sz="12" w:space="0" w:color="000000"/>
              <w:right w:val="single" w:sz="12" w:space="0" w:color="000000"/>
            </w:tcBorders>
            <w:shd w:val="clear" w:color="auto" w:fill="FFFFFF"/>
            <w:vAlign w:val="center"/>
          </w:tcPr>
          <w:p w:rsidR="008F03B5" w:rsidRPr="00E2283E" w:rsidRDefault="008F03B5" w:rsidP="00E2283E">
            <w:pPr>
              <w:rPr>
                <w:lang/>
              </w:rPr>
            </w:pPr>
            <w:r w:rsidRPr="00E2283E">
              <w:rPr>
                <w:lang/>
              </w:rPr>
              <w:t>0.063</w:t>
            </w:r>
          </w:p>
        </w:tc>
      </w:tr>
    </w:tbl>
    <w:p w:rsidR="008F03B5" w:rsidRPr="00E2283E" w:rsidRDefault="008F03B5" w:rsidP="00E2283E">
      <w:pPr>
        <w:bidi w:val="0"/>
        <w:spacing w:line="360" w:lineRule="auto"/>
        <w:ind w:firstLine="425"/>
        <w:jc w:val="both"/>
        <w:rPr>
          <w:lang/>
        </w:rPr>
      </w:pPr>
      <w:r w:rsidRPr="00E2283E">
        <w:rPr>
          <w:lang/>
        </w:rPr>
        <w:t xml:space="preserve">AFI: Arm fat index- </w:t>
      </w:r>
      <w:r w:rsidRPr="00E2283E">
        <w:rPr>
          <w:rFonts w:eastAsia="HelveticaNeue-Roman"/>
          <w:lang/>
        </w:rPr>
        <w:t>Ht</w:t>
      </w:r>
      <w:r w:rsidRPr="00E2283E">
        <w:rPr>
          <w:lang/>
        </w:rPr>
        <w:t>: Height- MUAC: Mid upper arm circumference- MUAFA: Mid upper arm fat area- MUAMA: Mid upper arm muscle area-SSFT: Subscapular skinfold thickness-TSFT: Triceps skin-fold thickness-TUAA: Total upper arm area-Wt: Weight-Wt/ht: Weight for height</w:t>
      </w:r>
    </w:p>
    <w:p w:rsidR="008F03B5" w:rsidRPr="00E2283E" w:rsidRDefault="008F03B5" w:rsidP="00E2283E">
      <w:pPr>
        <w:bidi w:val="0"/>
        <w:spacing w:after="0" w:line="360" w:lineRule="auto"/>
        <w:ind w:firstLine="425"/>
        <w:jc w:val="both"/>
        <w:rPr>
          <w:lang/>
        </w:rPr>
      </w:pPr>
      <w:r w:rsidRPr="00E2283E">
        <w:rPr>
          <w:lang/>
        </w:rPr>
        <w:t>Correlation between anthropometric parameters and serum IGF-1 level was presented in table (5). Results showed that there was no significant correlation between any of anthropometric parameters and serum IGF-1 level</w:t>
      </w:r>
    </w:p>
    <w:p w:rsidR="008F03B5" w:rsidRPr="00E2283E" w:rsidRDefault="008F03B5" w:rsidP="00E2283E">
      <w:pPr>
        <w:bidi w:val="0"/>
        <w:spacing w:after="0" w:line="360" w:lineRule="auto"/>
        <w:ind w:firstLine="425"/>
        <w:jc w:val="both"/>
        <w:rPr>
          <w:lang/>
        </w:rPr>
      </w:pPr>
      <w:r w:rsidRPr="00E2283E">
        <w:rPr>
          <w:lang/>
        </w:rPr>
        <w:t>Table (6) Comparison of means of IGF-1 level between patients with anthropometric parameters z score above and below -2SDS</w:t>
      </w:r>
    </w:p>
    <w:tbl>
      <w:tblPr>
        <w:tblW w:w="850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tblPr>
      <w:tblGrid>
        <w:gridCol w:w="1909"/>
        <w:gridCol w:w="2796"/>
        <w:gridCol w:w="2788"/>
        <w:gridCol w:w="1011"/>
      </w:tblGrid>
      <w:tr w:rsidR="008F03B5" w:rsidRPr="00E2283E" w:rsidTr="00E2283E">
        <w:trPr>
          <w:trHeight w:val="345"/>
          <w:jc w:val="center"/>
        </w:trPr>
        <w:tc>
          <w:tcPr>
            <w:tcW w:w="1997" w:type="dxa"/>
            <w:shd w:val="clear" w:color="000000" w:fill="FFFFFF"/>
          </w:tcPr>
          <w:p w:rsidR="008F03B5" w:rsidRPr="00E2283E" w:rsidRDefault="008F03B5" w:rsidP="00E2283E">
            <w:pPr>
              <w:rPr>
                <w:lang/>
              </w:rPr>
            </w:pPr>
          </w:p>
        </w:tc>
        <w:tc>
          <w:tcPr>
            <w:tcW w:w="6521" w:type="dxa"/>
            <w:gridSpan w:val="2"/>
            <w:shd w:val="clear" w:color="000000" w:fill="FFFFFF"/>
            <w:vAlign w:val="center"/>
          </w:tcPr>
          <w:p w:rsidR="008F03B5" w:rsidRPr="00E2283E" w:rsidRDefault="008F03B5" w:rsidP="00E2283E">
            <w:pPr>
              <w:rPr>
                <w:lang/>
              </w:rPr>
            </w:pPr>
            <w:r w:rsidRPr="00E2283E">
              <w:rPr>
                <w:lang/>
              </w:rPr>
              <w:t xml:space="preserve">Mean ± SD of IGF-1 </w:t>
            </w:r>
          </w:p>
        </w:tc>
        <w:tc>
          <w:tcPr>
            <w:tcW w:w="1134" w:type="dxa"/>
          </w:tcPr>
          <w:p w:rsidR="008F03B5" w:rsidRPr="00E2283E" w:rsidRDefault="008F03B5" w:rsidP="00E2283E">
            <w:pPr>
              <w:rPr>
                <w:lang/>
              </w:rPr>
            </w:pPr>
          </w:p>
        </w:tc>
      </w:tr>
      <w:tr w:rsidR="008F03B5" w:rsidRPr="00E2283E" w:rsidTr="00E2283E">
        <w:trPr>
          <w:trHeight w:val="345"/>
          <w:jc w:val="center"/>
        </w:trPr>
        <w:tc>
          <w:tcPr>
            <w:tcW w:w="1997" w:type="dxa"/>
            <w:shd w:val="clear" w:color="000000" w:fill="FFFFFF"/>
            <w:vAlign w:val="center"/>
          </w:tcPr>
          <w:p w:rsidR="008F03B5" w:rsidRPr="00E2283E" w:rsidRDefault="008F03B5" w:rsidP="00E2283E">
            <w:pPr>
              <w:rPr>
                <w:lang/>
              </w:rPr>
            </w:pPr>
            <w:r w:rsidRPr="00E2283E">
              <w:rPr>
                <w:lang/>
              </w:rPr>
              <w:t xml:space="preserve">Anthropometric parameters  </w:t>
            </w:r>
          </w:p>
        </w:tc>
        <w:tc>
          <w:tcPr>
            <w:tcW w:w="3266" w:type="dxa"/>
            <w:shd w:val="clear" w:color="000000" w:fill="FFFFFF"/>
            <w:vAlign w:val="center"/>
          </w:tcPr>
          <w:p w:rsidR="008F03B5" w:rsidRPr="00E2283E" w:rsidRDefault="008F03B5" w:rsidP="00E2283E">
            <w:pPr>
              <w:rPr>
                <w:lang/>
              </w:rPr>
            </w:pPr>
            <w:r w:rsidRPr="00E2283E">
              <w:rPr>
                <w:lang/>
              </w:rPr>
              <w:t>Patients with anthropometric parameters  z score above -2 SDS</w:t>
            </w:r>
          </w:p>
        </w:tc>
        <w:tc>
          <w:tcPr>
            <w:tcW w:w="3255" w:type="dxa"/>
            <w:shd w:val="clear" w:color="000000" w:fill="FFFFFF"/>
            <w:vAlign w:val="center"/>
          </w:tcPr>
          <w:p w:rsidR="008F03B5" w:rsidRPr="00E2283E" w:rsidRDefault="008F03B5" w:rsidP="00E2283E">
            <w:pPr>
              <w:rPr>
                <w:lang/>
              </w:rPr>
            </w:pPr>
            <w:r w:rsidRPr="00E2283E">
              <w:rPr>
                <w:lang/>
              </w:rPr>
              <w:t>Patients with anthropometric parameters  z score below -2 SDS</w:t>
            </w:r>
          </w:p>
        </w:tc>
        <w:tc>
          <w:tcPr>
            <w:tcW w:w="1134" w:type="dxa"/>
            <w:vAlign w:val="center"/>
          </w:tcPr>
          <w:p w:rsidR="008F03B5" w:rsidRPr="00E2283E" w:rsidRDefault="008F03B5" w:rsidP="00E2283E">
            <w:pPr>
              <w:rPr>
                <w:lang/>
              </w:rPr>
            </w:pPr>
            <w:r w:rsidRPr="00E2283E">
              <w:rPr>
                <w:lang/>
              </w:rPr>
              <w:t>P- value</w:t>
            </w:r>
          </w:p>
        </w:tc>
      </w:tr>
      <w:tr w:rsidR="008F03B5" w:rsidRPr="00E2283E" w:rsidTr="00E2283E">
        <w:trPr>
          <w:trHeight w:val="315"/>
          <w:jc w:val="center"/>
        </w:trPr>
        <w:tc>
          <w:tcPr>
            <w:tcW w:w="1997" w:type="dxa"/>
            <w:shd w:val="clear" w:color="000000" w:fill="FFFFFF"/>
            <w:vAlign w:val="center"/>
          </w:tcPr>
          <w:p w:rsidR="008F03B5" w:rsidRPr="00E2283E" w:rsidRDefault="008F03B5" w:rsidP="00E2283E">
            <w:pPr>
              <w:rPr>
                <w:lang/>
              </w:rPr>
            </w:pPr>
            <w:r w:rsidRPr="00E2283E">
              <w:rPr>
                <w:lang/>
              </w:rPr>
              <w:t>weight z score</w:t>
            </w:r>
          </w:p>
        </w:tc>
        <w:tc>
          <w:tcPr>
            <w:tcW w:w="3266" w:type="dxa"/>
            <w:shd w:val="clear" w:color="000000" w:fill="FFFFFF"/>
            <w:vAlign w:val="center"/>
          </w:tcPr>
          <w:p w:rsidR="008F03B5" w:rsidRPr="00E2283E" w:rsidRDefault="008F03B5" w:rsidP="00E2283E">
            <w:pPr>
              <w:rPr>
                <w:lang/>
              </w:rPr>
            </w:pPr>
            <w:r w:rsidRPr="00E2283E">
              <w:rPr>
                <w:lang/>
              </w:rPr>
              <w:t>26.96 ± 6.61</w:t>
            </w:r>
          </w:p>
        </w:tc>
        <w:tc>
          <w:tcPr>
            <w:tcW w:w="3255" w:type="dxa"/>
            <w:shd w:val="clear" w:color="000000" w:fill="FFFFFF"/>
            <w:vAlign w:val="center"/>
          </w:tcPr>
          <w:p w:rsidR="008F03B5" w:rsidRPr="00E2283E" w:rsidRDefault="008F03B5" w:rsidP="00E2283E">
            <w:pPr>
              <w:rPr>
                <w:lang/>
              </w:rPr>
            </w:pPr>
            <w:r w:rsidRPr="00E2283E">
              <w:rPr>
                <w:lang/>
              </w:rPr>
              <w:t>26.89 ± 6.09</w:t>
            </w:r>
          </w:p>
        </w:tc>
        <w:tc>
          <w:tcPr>
            <w:tcW w:w="1134" w:type="dxa"/>
            <w:vAlign w:val="center"/>
          </w:tcPr>
          <w:p w:rsidR="008F03B5" w:rsidRPr="00E2283E" w:rsidRDefault="008F03B5" w:rsidP="00E2283E">
            <w:pPr>
              <w:rPr>
                <w:lang/>
              </w:rPr>
            </w:pPr>
            <w:r w:rsidRPr="00E2283E">
              <w:rPr>
                <w:lang/>
              </w:rPr>
              <w:t>0.970</w:t>
            </w:r>
          </w:p>
        </w:tc>
      </w:tr>
      <w:tr w:rsidR="008F03B5" w:rsidRPr="00E2283E" w:rsidTr="00E2283E">
        <w:trPr>
          <w:trHeight w:val="315"/>
          <w:jc w:val="center"/>
        </w:trPr>
        <w:tc>
          <w:tcPr>
            <w:tcW w:w="1997" w:type="dxa"/>
            <w:shd w:val="clear" w:color="000000" w:fill="FFFFFF"/>
            <w:vAlign w:val="center"/>
          </w:tcPr>
          <w:p w:rsidR="008F03B5" w:rsidRPr="00E2283E" w:rsidRDefault="008F03B5" w:rsidP="00E2283E">
            <w:pPr>
              <w:rPr>
                <w:lang/>
              </w:rPr>
            </w:pPr>
            <w:r w:rsidRPr="00E2283E">
              <w:rPr>
                <w:lang/>
              </w:rPr>
              <w:t>Height z score</w:t>
            </w:r>
          </w:p>
        </w:tc>
        <w:tc>
          <w:tcPr>
            <w:tcW w:w="3266" w:type="dxa"/>
            <w:shd w:val="clear" w:color="000000" w:fill="FFFFFF"/>
            <w:vAlign w:val="center"/>
          </w:tcPr>
          <w:p w:rsidR="008F03B5" w:rsidRPr="00E2283E" w:rsidRDefault="008F03B5" w:rsidP="00E2283E">
            <w:pPr>
              <w:rPr>
                <w:lang/>
              </w:rPr>
            </w:pPr>
            <w:r w:rsidRPr="00E2283E">
              <w:rPr>
                <w:lang/>
              </w:rPr>
              <w:t>27.65 ± 6.39</w:t>
            </w:r>
          </w:p>
        </w:tc>
        <w:tc>
          <w:tcPr>
            <w:tcW w:w="3255" w:type="dxa"/>
            <w:shd w:val="clear" w:color="000000" w:fill="FFFFFF"/>
            <w:vAlign w:val="center"/>
          </w:tcPr>
          <w:p w:rsidR="008F03B5" w:rsidRPr="00E2283E" w:rsidRDefault="008F03B5" w:rsidP="00E2283E">
            <w:pPr>
              <w:rPr>
                <w:lang/>
              </w:rPr>
            </w:pPr>
            <w:r w:rsidRPr="00E2283E">
              <w:rPr>
                <w:lang/>
              </w:rPr>
              <w:t>26.30 ± 6.33</w:t>
            </w:r>
          </w:p>
        </w:tc>
        <w:tc>
          <w:tcPr>
            <w:tcW w:w="1134" w:type="dxa"/>
            <w:vAlign w:val="center"/>
          </w:tcPr>
          <w:p w:rsidR="008F03B5" w:rsidRPr="00E2283E" w:rsidRDefault="008F03B5" w:rsidP="00E2283E">
            <w:pPr>
              <w:rPr>
                <w:lang/>
              </w:rPr>
            </w:pPr>
            <w:r w:rsidRPr="00E2283E">
              <w:rPr>
                <w:lang/>
              </w:rPr>
              <w:t>0.459</w:t>
            </w:r>
          </w:p>
        </w:tc>
      </w:tr>
      <w:tr w:rsidR="008F03B5" w:rsidRPr="00E2283E" w:rsidTr="00E2283E">
        <w:trPr>
          <w:trHeight w:val="315"/>
          <w:jc w:val="center"/>
        </w:trPr>
        <w:tc>
          <w:tcPr>
            <w:tcW w:w="1997" w:type="dxa"/>
            <w:shd w:val="clear" w:color="000000" w:fill="FFFFFF"/>
            <w:vAlign w:val="center"/>
          </w:tcPr>
          <w:p w:rsidR="008F03B5" w:rsidRPr="00E2283E" w:rsidRDefault="008F03B5" w:rsidP="00E2283E">
            <w:pPr>
              <w:rPr>
                <w:lang/>
              </w:rPr>
            </w:pPr>
            <w:r w:rsidRPr="00E2283E">
              <w:rPr>
                <w:lang/>
              </w:rPr>
              <w:t>Wt/Ht z score</w:t>
            </w:r>
          </w:p>
        </w:tc>
        <w:tc>
          <w:tcPr>
            <w:tcW w:w="3266" w:type="dxa"/>
            <w:shd w:val="clear" w:color="000000" w:fill="FFFFFF"/>
            <w:vAlign w:val="center"/>
          </w:tcPr>
          <w:p w:rsidR="008F03B5" w:rsidRPr="00E2283E" w:rsidRDefault="008F03B5" w:rsidP="00E2283E">
            <w:pPr>
              <w:rPr>
                <w:lang/>
              </w:rPr>
            </w:pPr>
            <w:r w:rsidRPr="00E2283E">
              <w:rPr>
                <w:lang/>
              </w:rPr>
              <w:t>27.38 ± 6.91</w:t>
            </w:r>
          </w:p>
        </w:tc>
        <w:tc>
          <w:tcPr>
            <w:tcW w:w="3255" w:type="dxa"/>
            <w:shd w:val="clear" w:color="000000" w:fill="FFFFFF"/>
            <w:vAlign w:val="center"/>
          </w:tcPr>
          <w:p w:rsidR="008F03B5" w:rsidRPr="00E2283E" w:rsidRDefault="008F03B5" w:rsidP="00E2283E">
            <w:pPr>
              <w:rPr>
                <w:lang/>
              </w:rPr>
            </w:pPr>
            <w:r w:rsidRPr="00E2283E">
              <w:rPr>
                <w:lang/>
              </w:rPr>
              <w:t>25.87 ± 4.76</w:t>
            </w:r>
          </w:p>
        </w:tc>
        <w:tc>
          <w:tcPr>
            <w:tcW w:w="1134" w:type="dxa"/>
            <w:vAlign w:val="center"/>
          </w:tcPr>
          <w:p w:rsidR="008F03B5" w:rsidRPr="00E2283E" w:rsidRDefault="008F03B5" w:rsidP="00E2283E">
            <w:pPr>
              <w:rPr>
                <w:lang/>
              </w:rPr>
            </w:pPr>
            <w:r w:rsidRPr="00E2283E">
              <w:rPr>
                <w:lang/>
              </w:rPr>
              <w:t>0.447</w:t>
            </w:r>
          </w:p>
        </w:tc>
      </w:tr>
      <w:tr w:rsidR="008F03B5" w:rsidRPr="00E2283E" w:rsidTr="00E2283E">
        <w:trPr>
          <w:trHeight w:val="315"/>
          <w:jc w:val="center"/>
        </w:trPr>
        <w:tc>
          <w:tcPr>
            <w:tcW w:w="1997" w:type="dxa"/>
            <w:shd w:val="clear" w:color="000000" w:fill="FFFFFF"/>
            <w:vAlign w:val="center"/>
          </w:tcPr>
          <w:p w:rsidR="008F03B5" w:rsidRPr="00E2283E" w:rsidRDefault="008F03B5" w:rsidP="00E2283E">
            <w:pPr>
              <w:rPr>
                <w:lang/>
              </w:rPr>
            </w:pPr>
            <w:r w:rsidRPr="00E2283E">
              <w:rPr>
                <w:lang/>
              </w:rPr>
              <w:t>MUAC z score</w:t>
            </w:r>
          </w:p>
        </w:tc>
        <w:tc>
          <w:tcPr>
            <w:tcW w:w="3266" w:type="dxa"/>
            <w:shd w:val="clear" w:color="000000" w:fill="FFFFFF"/>
            <w:vAlign w:val="center"/>
          </w:tcPr>
          <w:p w:rsidR="008F03B5" w:rsidRPr="00E2283E" w:rsidRDefault="008F03B5" w:rsidP="00E2283E">
            <w:pPr>
              <w:rPr>
                <w:lang/>
              </w:rPr>
            </w:pPr>
            <w:r w:rsidRPr="00E2283E">
              <w:rPr>
                <w:lang/>
              </w:rPr>
              <w:t>27.77 ± 6.98</w:t>
            </w:r>
          </w:p>
        </w:tc>
        <w:tc>
          <w:tcPr>
            <w:tcW w:w="3255" w:type="dxa"/>
            <w:shd w:val="clear" w:color="000000" w:fill="FFFFFF"/>
            <w:vAlign w:val="center"/>
          </w:tcPr>
          <w:p w:rsidR="008F03B5" w:rsidRPr="00E2283E" w:rsidRDefault="008F03B5" w:rsidP="00E2283E">
            <w:pPr>
              <w:rPr>
                <w:lang/>
              </w:rPr>
            </w:pPr>
            <w:r w:rsidRPr="00E2283E">
              <w:rPr>
                <w:lang/>
              </w:rPr>
              <w:t>26.41 ± 5.96</w:t>
            </w:r>
          </w:p>
        </w:tc>
        <w:tc>
          <w:tcPr>
            <w:tcW w:w="1134" w:type="dxa"/>
            <w:vAlign w:val="center"/>
          </w:tcPr>
          <w:p w:rsidR="008F03B5" w:rsidRPr="00E2283E" w:rsidRDefault="008F03B5" w:rsidP="00E2283E">
            <w:pPr>
              <w:rPr>
                <w:lang/>
              </w:rPr>
            </w:pPr>
            <w:r w:rsidRPr="00E2283E">
              <w:rPr>
                <w:lang/>
              </w:rPr>
              <w:t>0.466</w:t>
            </w:r>
          </w:p>
        </w:tc>
      </w:tr>
      <w:tr w:rsidR="008F03B5" w:rsidRPr="00E2283E" w:rsidTr="00E2283E">
        <w:trPr>
          <w:trHeight w:val="315"/>
          <w:jc w:val="center"/>
        </w:trPr>
        <w:tc>
          <w:tcPr>
            <w:tcW w:w="1997" w:type="dxa"/>
            <w:shd w:val="clear" w:color="000000" w:fill="FFFFFF"/>
            <w:vAlign w:val="center"/>
          </w:tcPr>
          <w:p w:rsidR="008F03B5" w:rsidRPr="00E2283E" w:rsidRDefault="008F03B5" w:rsidP="00E2283E">
            <w:pPr>
              <w:rPr>
                <w:lang/>
              </w:rPr>
            </w:pPr>
            <w:r w:rsidRPr="00E2283E">
              <w:rPr>
                <w:lang/>
              </w:rPr>
              <w:t>TSFT z score</w:t>
            </w:r>
          </w:p>
        </w:tc>
        <w:tc>
          <w:tcPr>
            <w:tcW w:w="3266" w:type="dxa"/>
            <w:shd w:val="clear" w:color="000000" w:fill="FFFFFF"/>
            <w:vAlign w:val="center"/>
          </w:tcPr>
          <w:p w:rsidR="008F03B5" w:rsidRPr="00E2283E" w:rsidRDefault="008F03B5" w:rsidP="00E2283E">
            <w:pPr>
              <w:rPr>
                <w:lang/>
              </w:rPr>
            </w:pPr>
            <w:r w:rsidRPr="00E2283E">
              <w:rPr>
                <w:lang/>
              </w:rPr>
              <w:t>28.09 ± 6.24</w:t>
            </w:r>
          </w:p>
        </w:tc>
        <w:tc>
          <w:tcPr>
            <w:tcW w:w="3255" w:type="dxa"/>
            <w:shd w:val="clear" w:color="000000" w:fill="FFFFFF"/>
            <w:vAlign w:val="center"/>
          </w:tcPr>
          <w:p w:rsidR="008F03B5" w:rsidRPr="00E2283E" w:rsidRDefault="008F03B5" w:rsidP="00E2283E">
            <w:pPr>
              <w:rPr>
                <w:lang/>
              </w:rPr>
            </w:pPr>
            <w:r w:rsidRPr="00E2283E">
              <w:rPr>
                <w:lang/>
              </w:rPr>
              <w:t>26.01 ± 6.36</w:t>
            </w:r>
          </w:p>
        </w:tc>
        <w:tc>
          <w:tcPr>
            <w:tcW w:w="1134" w:type="dxa"/>
            <w:vAlign w:val="center"/>
          </w:tcPr>
          <w:p w:rsidR="008F03B5" w:rsidRPr="00E2283E" w:rsidRDefault="008F03B5" w:rsidP="00E2283E">
            <w:pPr>
              <w:rPr>
                <w:lang/>
              </w:rPr>
            </w:pPr>
            <w:r w:rsidRPr="00E2283E">
              <w:rPr>
                <w:lang/>
              </w:rPr>
              <w:t>0.253</w:t>
            </w:r>
          </w:p>
        </w:tc>
      </w:tr>
      <w:tr w:rsidR="008F03B5" w:rsidRPr="00E2283E" w:rsidTr="00E2283E">
        <w:trPr>
          <w:trHeight w:val="315"/>
          <w:jc w:val="center"/>
        </w:trPr>
        <w:tc>
          <w:tcPr>
            <w:tcW w:w="1997" w:type="dxa"/>
            <w:shd w:val="clear" w:color="000000" w:fill="FFFFFF"/>
            <w:vAlign w:val="center"/>
          </w:tcPr>
          <w:p w:rsidR="008F03B5" w:rsidRPr="00E2283E" w:rsidRDefault="008F03B5" w:rsidP="00E2283E">
            <w:pPr>
              <w:rPr>
                <w:lang/>
              </w:rPr>
            </w:pPr>
            <w:r w:rsidRPr="00E2283E">
              <w:rPr>
                <w:lang/>
              </w:rPr>
              <w:t>SSFT z score</w:t>
            </w:r>
          </w:p>
        </w:tc>
        <w:tc>
          <w:tcPr>
            <w:tcW w:w="3266" w:type="dxa"/>
            <w:shd w:val="clear" w:color="000000" w:fill="FFFFFF"/>
            <w:vAlign w:val="center"/>
          </w:tcPr>
          <w:p w:rsidR="008F03B5" w:rsidRPr="00E2283E" w:rsidRDefault="008F03B5" w:rsidP="00E2283E">
            <w:pPr>
              <w:rPr>
                <w:lang/>
              </w:rPr>
            </w:pPr>
            <w:r w:rsidRPr="00E2283E">
              <w:rPr>
                <w:lang/>
              </w:rPr>
              <w:t>28.02 ± 6.32</w:t>
            </w:r>
          </w:p>
        </w:tc>
        <w:tc>
          <w:tcPr>
            <w:tcW w:w="3255" w:type="dxa"/>
            <w:shd w:val="clear" w:color="000000" w:fill="FFFFFF"/>
            <w:vAlign w:val="center"/>
          </w:tcPr>
          <w:p w:rsidR="008F03B5" w:rsidRPr="00E2283E" w:rsidRDefault="008F03B5" w:rsidP="00E2283E">
            <w:pPr>
              <w:rPr>
                <w:lang/>
              </w:rPr>
            </w:pPr>
            <w:r w:rsidRPr="00E2283E">
              <w:rPr>
                <w:lang/>
              </w:rPr>
              <w:t>26.07 ± 6.32</w:t>
            </w:r>
          </w:p>
        </w:tc>
        <w:tc>
          <w:tcPr>
            <w:tcW w:w="1134" w:type="dxa"/>
            <w:vAlign w:val="center"/>
          </w:tcPr>
          <w:p w:rsidR="008F03B5" w:rsidRPr="00E2283E" w:rsidRDefault="008F03B5" w:rsidP="00E2283E">
            <w:pPr>
              <w:rPr>
                <w:lang/>
              </w:rPr>
            </w:pPr>
            <w:r w:rsidRPr="00E2283E">
              <w:rPr>
                <w:lang/>
              </w:rPr>
              <w:t>0.283</w:t>
            </w:r>
          </w:p>
        </w:tc>
      </w:tr>
      <w:tr w:rsidR="008F03B5" w:rsidRPr="00E2283E" w:rsidTr="00E2283E">
        <w:trPr>
          <w:trHeight w:val="315"/>
          <w:jc w:val="center"/>
        </w:trPr>
        <w:tc>
          <w:tcPr>
            <w:tcW w:w="1997" w:type="dxa"/>
            <w:shd w:val="clear" w:color="000000" w:fill="FFFFFF"/>
            <w:vAlign w:val="center"/>
          </w:tcPr>
          <w:p w:rsidR="008F03B5" w:rsidRPr="00E2283E" w:rsidRDefault="008F03B5" w:rsidP="00E2283E">
            <w:pPr>
              <w:rPr>
                <w:lang/>
              </w:rPr>
            </w:pPr>
            <w:r w:rsidRPr="00E2283E">
              <w:rPr>
                <w:lang/>
              </w:rPr>
              <w:t>TUAA z score</w:t>
            </w:r>
          </w:p>
        </w:tc>
        <w:tc>
          <w:tcPr>
            <w:tcW w:w="3266" w:type="dxa"/>
            <w:shd w:val="clear" w:color="000000" w:fill="FFFFFF"/>
            <w:vAlign w:val="center"/>
          </w:tcPr>
          <w:p w:rsidR="008F03B5" w:rsidRPr="00E2283E" w:rsidRDefault="008F03B5" w:rsidP="00E2283E">
            <w:pPr>
              <w:rPr>
                <w:lang/>
              </w:rPr>
            </w:pPr>
            <w:r w:rsidRPr="00E2283E">
              <w:rPr>
                <w:lang/>
              </w:rPr>
              <w:t>28.48 ± 6.97</w:t>
            </w:r>
          </w:p>
        </w:tc>
        <w:tc>
          <w:tcPr>
            <w:tcW w:w="3255" w:type="dxa"/>
            <w:shd w:val="clear" w:color="000000" w:fill="FFFFFF"/>
            <w:vAlign w:val="center"/>
          </w:tcPr>
          <w:p w:rsidR="008F03B5" w:rsidRPr="00E2283E" w:rsidRDefault="008F03B5" w:rsidP="00E2283E">
            <w:pPr>
              <w:rPr>
                <w:lang/>
              </w:rPr>
            </w:pPr>
            <w:r w:rsidRPr="00E2283E">
              <w:rPr>
                <w:lang/>
              </w:rPr>
              <w:t>26.26 ± 6.02</w:t>
            </w:r>
          </w:p>
        </w:tc>
        <w:tc>
          <w:tcPr>
            <w:tcW w:w="1134" w:type="dxa"/>
            <w:vAlign w:val="center"/>
          </w:tcPr>
          <w:p w:rsidR="008F03B5" w:rsidRPr="00E2283E" w:rsidRDefault="008F03B5" w:rsidP="00E2283E">
            <w:pPr>
              <w:rPr>
                <w:lang/>
              </w:rPr>
            </w:pPr>
            <w:r w:rsidRPr="00E2283E">
              <w:rPr>
                <w:lang/>
              </w:rPr>
              <w:t>0.260</w:t>
            </w:r>
          </w:p>
        </w:tc>
      </w:tr>
      <w:tr w:rsidR="008F03B5" w:rsidRPr="00E2283E" w:rsidTr="00E2283E">
        <w:trPr>
          <w:trHeight w:val="315"/>
          <w:jc w:val="center"/>
        </w:trPr>
        <w:tc>
          <w:tcPr>
            <w:tcW w:w="1997" w:type="dxa"/>
            <w:shd w:val="clear" w:color="000000" w:fill="FFFFFF"/>
            <w:vAlign w:val="center"/>
          </w:tcPr>
          <w:p w:rsidR="008F03B5" w:rsidRPr="00E2283E" w:rsidRDefault="008F03B5" w:rsidP="00E2283E">
            <w:pPr>
              <w:rPr>
                <w:lang/>
              </w:rPr>
            </w:pPr>
            <w:r w:rsidRPr="00E2283E">
              <w:rPr>
                <w:lang/>
              </w:rPr>
              <w:t>MUAMA z score</w:t>
            </w:r>
          </w:p>
        </w:tc>
        <w:tc>
          <w:tcPr>
            <w:tcW w:w="3266" w:type="dxa"/>
            <w:shd w:val="clear" w:color="000000" w:fill="FFFFFF"/>
            <w:vAlign w:val="center"/>
          </w:tcPr>
          <w:p w:rsidR="008F03B5" w:rsidRPr="00E2283E" w:rsidRDefault="008F03B5" w:rsidP="00E2283E">
            <w:pPr>
              <w:rPr>
                <w:lang/>
              </w:rPr>
            </w:pPr>
            <w:r w:rsidRPr="00E2283E">
              <w:rPr>
                <w:lang/>
              </w:rPr>
              <w:t>26.36 ± 7.06</w:t>
            </w:r>
          </w:p>
        </w:tc>
        <w:tc>
          <w:tcPr>
            <w:tcW w:w="3255" w:type="dxa"/>
            <w:shd w:val="clear" w:color="000000" w:fill="FFFFFF"/>
            <w:vAlign w:val="center"/>
          </w:tcPr>
          <w:p w:rsidR="008F03B5" w:rsidRPr="00E2283E" w:rsidRDefault="008F03B5" w:rsidP="00E2283E">
            <w:pPr>
              <w:rPr>
                <w:lang/>
              </w:rPr>
            </w:pPr>
            <w:r w:rsidRPr="00E2283E">
              <w:rPr>
                <w:lang/>
              </w:rPr>
              <w:t>27.58 ± 5.43</w:t>
            </w:r>
          </w:p>
        </w:tc>
        <w:tc>
          <w:tcPr>
            <w:tcW w:w="1134" w:type="dxa"/>
            <w:vAlign w:val="center"/>
          </w:tcPr>
          <w:p w:rsidR="008F03B5" w:rsidRPr="00E2283E" w:rsidRDefault="008F03B5" w:rsidP="00E2283E">
            <w:pPr>
              <w:rPr>
                <w:lang/>
              </w:rPr>
            </w:pPr>
            <w:r w:rsidRPr="00E2283E">
              <w:rPr>
                <w:lang/>
              </w:rPr>
              <w:t>0.503</w:t>
            </w:r>
          </w:p>
        </w:tc>
      </w:tr>
      <w:tr w:rsidR="008F03B5" w:rsidRPr="00E2283E" w:rsidTr="00E2283E">
        <w:trPr>
          <w:trHeight w:val="315"/>
          <w:jc w:val="center"/>
        </w:trPr>
        <w:tc>
          <w:tcPr>
            <w:tcW w:w="1997" w:type="dxa"/>
            <w:shd w:val="clear" w:color="000000" w:fill="FFFFFF"/>
            <w:vAlign w:val="center"/>
          </w:tcPr>
          <w:p w:rsidR="008F03B5" w:rsidRPr="00E2283E" w:rsidRDefault="008F03B5" w:rsidP="00E2283E">
            <w:pPr>
              <w:rPr>
                <w:lang/>
              </w:rPr>
            </w:pPr>
            <w:r w:rsidRPr="00E2283E">
              <w:rPr>
                <w:lang/>
              </w:rPr>
              <w:t>MUAFA z score</w:t>
            </w:r>
          </w:p>
        </w:tc>
        <w:tc>
          <w:tcPr>
            <w:tcW w:w="3266" w:type="dxa"/>
            <w:shd w:val="clear" w:color="000000" w:fill="FFFFFF"/>
            <w:vAlign w:val="center"/>
          </w:tcPr>
          <w:p w:rsidR="008F03B5" w:rsidRPr="00E2283E" w:rsidRDefault="008F03B5" w:rsidP="00E2283E">
            <w:pPr>
              <w:rPr>
                <w:lang/>
              </w:rPr>
            </w:pPr>
            <w:r w:rsidRPr="00E2283E">
              <w:rPr>
                <w:lang/>
              </w:rPr>
              <w:t>27.77 ± 6.33</w:t>
            </w:r>
          </w:p>
        </w:tc>
        <w:tc>
          <w:tcPr>
            <w:tcW w:w="3255" w:type="dxa"/>
            <w:shd w:val="clear" w:color="000000" w:fill="FFFFFF"/>
            <w:vAlign w:val="center"/>
          </w:tcPr>
          <w:p w:rsidR="008F03B5" w:rsidRPr="00E2283E" w:rsidRDefault="008F03B5" w:rsidP="00E2283E">
            <w:pPr>
              <w:rPr>
                <w:lang/>
              </w:rPr>
            </w:pPr>
            <w:r w:rsidRPr="00E2283E">
              <w:rPr>
                <w:lang/>
              </w:rPr>
              <w:t>26.15 ± 6.35</w:t>
            </w:r>
          </w:p>
        </w:tc>
        <w:tc>
          <w:tcPr>
            <w:tcW w:w="1134" w:type="dxa"/>
            <w:vAlign w:val="center"/>
          </w:tcPr>
          <w:p w:rsidR="008F03B5" w:rsidRPr="00E2283E" w:rsidRDefault="008F03B5" w:rsidP="00E2283E">
            <w:pPr>
              <w:rPr>
                <w:lang/>
              </w:rPr>
            </w:pPr>
            <w:r w:rsidRPr="00E2283E">
              <w:rPr>
                <w:lang/>
              </w:rPr>
              <w:t>0.370</w:t>
            </w:r>
          </w:p>
        </w:tc>
      </w:tr>
      <w:tr w:rsidR="008F03B5" w:rsidRPr="00E2283E" w:rsidTr="00E2283E">
        <w:trPr>
          <w:trHeight w:val="315"/>
          <w:jc w:val="center"/>
        </w:trPr>
        <w:tc>
          <w:tcPr>
            <w:tcW w:w="1997" w:type="dxa"/>
            <w:shd w:val="clear" w:color="000000" w:fill="FFFFFF"/>
            <w:vAlign w:val="center"/>
          </w:tcPr>
          <w:p w:rsidR="008F03B5" w:rsidRPr="00E2283E" w:rsidRDefault="008F03B5" w:rsidP="00E2283E">
            <w:pPr>
              <w:rPr>
                <w:lang/>
              </w:rPr>
            </w:pPr>
            <w:r w:rsidRPr="00E2283E">
              <w:rPr>
                <w:lang/>
              </w:rPr>
              <w:t>AFI z score</w:t>
            </w:r>
          </w:p>
        </w:tc>
        <w:tc>
          <w:tcPr>
            <w:tcW w:w="3266" w:type="dxa"/>
            <w:shd w:val="clear" w:color="000000" w:fill="FFFFFF"/>
            <w:vAlign w:val="center"/>
          </w:tcPr>
          <w:p w:rsidR="008F03B5" w:rsidRPr="00E2283E" w:rsidRDefault="008F03B5" w:rsidP="00E2283E">
            <w:pPr>
              <w:rPr>
                <w:lang/>
              </w:rPr>
            </w:pPr>
            <w:r w:rsidRPr="00E2283E">
              <w:rPr>
                <w:lang/>
              </w:rPr>
              <w:t>27.23 ± 6.27</w:t>
            </w:r>
          </w:p>
        </w:tc>
        <w:tc>
          <w:tcPr>
            <w:tcW w:w="3255" w:type="dxa"/>
            <w:shd w:val="clear" w:color="000000" w:fill="FFFFFF"/>
            <w:vAlign w:val="center"/>
          </w:tcPr>
          <w:p w:rsidR="008F03B5" w:rsidRPr="00E2283E" w:rsidRDefault="008F03B5" w:rsidP="00E2283E">
            <w:pPr>
              <w:rPr>
                <w:lang/>
              </w:rPr>
            </w:pPr>
            <w:r w:rsidRPr="00E2283E">
              <w:rPr>
                <w:lang/>
              </w:rPr>
              <w:t>25.84 ± 6.72</w:t>
            </w:r>
          </w:p>
        </w:tc>
        <w:tc>
          <w:tcPr>
            <w:tcW w:w="1134" w:type="dxa"/>
            <w:vAlign w:val="center"/>
          </w:tcPr>
          <w:p w:rsidR="008F03B5" w:rsidRPr="00E2283E" w:rsidRDefault="008F03B5" w:rsidP="00E2283E">
            <w:pPr>
              <w:rPr>
                <w:lang/>
              </w:rPr>
            </w:pPr>
            <w:r w:rsidRPr="00E2283E">
              <w:rPr>
                <w:lang/>
              </w:rPr>
              <w:t>0.527</w:t>
            </w:r>
          </w:p>
        </w:tc>
      </w:tr>
    </w:tbl>
    <w:p w:rsidR="008F03B5" w:rsidRPr="00E2283E" w:rsidRDefault="008F03B5" w:rsidP="00E2283E">
      <w:pPr>
        <w:bidi w:val="0"/>
        <w:spacing w:line="360" w:lineRule="auto"/>
        <w:ind w:firstLine="425"/>
        <w:jc w:val="both"/>
        <w:rPr>
          <w:lang/>
        </w:rPr>
      </w:pPr>
      <w:r w:rsidRPr="00E2283E">
        <w:rPr>
          <w:lang/>
        </w:rPr>
        <w:t xml:space="preserve">AFI: Arm fat index- </w:t>
      </w:r>
      <w:r w:rsidRPr="00E2283E">
        <w:rPr>
          <w:rFonts w:eastAsia="HelveticaNeue-Roman"/>
          <w:lang/>
        </w:rPr>
        <w:t>Ht</w:t>
      </w:r>
      <w:r w:rsidRPr="00E2283E">
        <w:rPr>
          <w:lang/>
        </w:rPr>
        <w:t>: Height- MUAC: Mid upper arm circumference- MUAFA: Mid upper arm fat area- MUAMA: Mid upper arm muscle area-SSFT: Subscapular skinfold thickness-TSFT: Triceps skin-fold thickness-TUAA: Total upper arm area-Wt: Weight-Wt/ht: Weight for height</w:t>
      </w:r>
    </w:p>
    <w:p w:rsidR="008F03B5" w:rsidRPr="00E2283E" w:rsidRDefault="008F03B5" w:rsidP="00E2283E">
      <w:pPr>
        <w:bidi w:val="0"/>
        <w:spacing w:after="0" w:line="360" w:lineRule="auto"/>
        <w:ind w:firstLine="425"/>
        <w:jc w:val="both"/>
        <w:rPr>
          <w:lang/>
        </w:rPr>
      </w:pPr>
      <w:r w:rsidRPr="00E2283E">
        <w:rPr>
          <w:lang/>
        </w:rPr>
        <w:t>Comparison of means of IGF-1 level between patients with anthropometric parameters z score above and below -2SDS was illustrated in table (6). It was found that there was no significant difference between the 2 groups.</w:t>
      </w:r>
    </w:p>
    <w:p w:rsidR="008F03B5" w:rsidRPr="00E2283E" w:rsidRDefault="008F03B5" w:rsidP="00E2283E">
      <w:pPr>
        <w:bidi w:val="0"/>
        <w:spacing w:after="0" w:line="360" w:lineRule="auto"/>
        <w:ind w:firstLine="425"/>
        <w:jc w:val="both"/>
        <w:rPr>
          <w:lang/>
        </w:rPr>
      </w:pPr>
      <w:r w:rsidRPr="00E2283E">
        <w:rPr>
          <w:lang/>
        </w:rPr>
        <w:t>Discussion</w:t>
      </w:r>
    </w:p>
    <w:p w:rsidR="008F03B5" w:rsidRPr="00E2283E" w:rsidRDefault="008F03B5" w:rsidP="00E2283E">
      <w:pPr>
        <w:bidi w:val="0"/>
        <w:spacing w:after="0" w:line="360" w:lineRule="auto"/>
        <w:ind w:firstLine="425"/>
        <w:jc w:val="both"/>
        <w:rPr>
          <w:lang/>
        </w:rPr>
      </w:pPr>
      <w:r w:rsidRPr="00E2283E">
        <w:rPr>
          <w:lang/>
        </w:rPr>
        <w:t xml:space="preserve">In the current study, IGF-1 level was significantly lower in patients compared to controls. Moreover, IGF-I level positively correlated with serum albumin, and negatively correlated with total bilirubin, direct bilirubin, PT, INR and AST. In addition, IGF-1 level was significantly lower in Child Pugh C compared to Child Pugh B and A. Similarly, the IGF-1 level was significantly lower in child Pugh B compared to Child Pugh A. These results come in accordance with Sedlaczek et al., (2003); Vyzantiadis et al., (2003);  Wu et al., (2004); Colakoğlu et al., (2007); Dehghani et al., (2012); </w:t>
      </w:r>
      <w:hyperlink r:id="rId17" w:history="1">
        <w:r w:rsidRPr="00E2283E">
          <w:rPr>
            <w:lang/>
          </w:rPr>
          <w:t xml:space="preserve">Khoshnood </w:t>
        </w:r>
      </w:hyperlink>
      <w:r w:rsidRPr="00E2283E">
        <w:rPr>
          <w:lang/>
        </w:rPr>
        <w:t xml:space="preserve"> et al., (2013); and </w:t>
      </w:r>
      <w:hyperlink r:id="rId18" w:history="1">
        <w:r w:rsidRPr="00E2283E">
          <w:rPr>
            <w:lang/>
          </w:rPr>
          <w:t xml:space="preserve">Ronsoni </w:t>
        </w:r>
      </w:hyperlink>
      <w:r w:rsidRPr="00E2283E">
        <w:rPr>
          <w:lang/>
        </w:rPr>
        <w:t>et al., (2013) who reported similar findings and they mentioned that  IGF-1 level negatively correlates to the degree of liver dysfunction and they also concluded that the combined detection of serum IGF-I with Child-Pugh score is more effective in predicting prognosis than Child-Pugh score alone.</w:t>
      </w:r>
    </w:p>
    <w:p w:rsidR="008F03B5" w:rsidRPr="00E2283E" w:rsidRDefault="008F03B5" w:rsidP="00E2283E">
      <w:pPr>
        <w:bidi w:val="0"/>
        <w:spacing w:after="0" w:line="360" w:lineRule="auto"/>
        <w:ind w:firstLine="425"/>
        <w:jc w:val="both"/>
        <w:rPr>
          <w:lang/>
        </w:rPr>
      </w:pPr>
      <w:r w:rsidRPr="00E2283E">
        <w:rPr>
          <w:lang/>
        </w:rPr>
        <w:t>The IGF-I deficiency in CLD is thought to result primarily from the reduced synthetic capacity of the hepatocellular mass, combined with a decrease in GH receptors in the cirrhotic liver (Donaghy et al., 2002). The level of bioactive IGF-I is further reduced because of elevated levels of IGFBP-1 and IGFBP -2, which act primarily as blockers of IGF actions. .Another contributing factor is the often reoccurring periods of spontaneous bacterial peritonitis, during which the level of IL-6 is increased. A negative correlation between IL-6 and IGF-I has been reported, possibly owing to IL-6-mediated blockade of the IGF-I production in the liver (Bonefeld and Møller, 2011).</w:t>
      </w:r>
    </w:p>
    <w:p w:rsidR="008F03B5" w:rsidRPr="00E2283E" w:rsidRDefault="008F03B5" w:rsidP="00E2283E">
      <w:pPr>
        <w:autoSpaceDE w:val="0"/>
        <w:autoSpaceDN w:val="0"/>
        <w:bidi w:val="0"/>
        <w:adjustRightInd w:val="0"/>
        <w:spacing w:line="360" w:lineRule="auto"/>
        <w:ind w:firstLine="425"/>
        <w:jc w:val="both"/>
        <w:rPr>
          <w:lang/>
        </w:rPr>
      </w:pPr>
      <w:r w:rsidRPr="00E2283E">
        <w:rPr>
          <w:lang/>
        </w:rPr>
        <w:t>Our results revealed insignificant correlation between any of the nutritional anthropometric parameters and serum level of IGF-1.  Moreover, the mean serum level of IGF-1 of patients with anthropometric parameters z score more than -2 SD was not significantly different from patients with theses parameters less than -2 SD.   These results are in agreement with Caregaro et al., (1997) and Colakoğlu et al., (2007)  who reported that  the decrease in IGF-I concentration correlates better with the degree of liver dysfunction rather than the degree of malnutrition.</w:t>
      </w:r>
    </w:p>
    <w:p w:rsidR="008F03B5" w:rsidRPr="00E2283E" w:rsidRDefault="008F03B5" w:rsidP="00E2283E">
      <w:pPr>
        <w:autoSpaceDE w:val="0"/>
        <w:autoSpaceDN w:val="0"/>
        <w:bidi w:val="0"/>
        <w:adjustRightInd w:val="0"/>
        <w:spacing w:line="360" w:lineRule="auto"/>
        <w:ind w:firstLine="425"/>
        <w:jc w:val="both"/>
        <w:rPr>
          <w:lang/>
        </w:rPr>
      </w:pPr>
      <w:r w:rsidRPr="00E2283E">
        <w:rPr>
          <w:lang/>
        </w:rPr>
        <w:t>Conclusion</w:t>
      </w:r>
    </w:p>
    <w:p w:rsidR="008F03B5" w:rsidRPr="00E2283E" w:rsidRDefault="008F03B5" w:rsidP="00E2283E">
      <w:pPr>
        <w:autoSpaceDE w:val="0"/>
        <w:autoSpaceDN w:val="0"/>
        <w:bidi w:val="0"/>
        <w:adjustRightInd w:val="0"/>
        <w:spacing w:line="360" w:lineRule="auto"/>
        <w:ind w:firstLine="425"/>
        <w:jc w:val="both"/>
        <w:rPr>
          <w:lang/>
        </w:rPr>
      </w:pPr>
      <w:r w:rsidRPr="00E2283E">
        <w:rPr>
          <w:lang/>
        </w:rPr>
        <w:t>It could be concluded that IGF-I level was inversely correlated to the degree of liver dysfunction rather than the degree of malnutrition.</w:t>
      </w:r>
    </w:p>
    <w:p w:rsidR="008F03B5" w:rsidRPr="00E2283E" w:rsidRDefault="008F03B5" w:rsidP="00E2283E">
      <w:pPr>
        <w:bidi w:val="0"/>
        <w:spacing w:after="0" w:line="360" w:lineRule="auto"/>
        <w:ind w:firstLine="425"/>
        <w:jc w:val="both"/>
        <w:rPr>
          <w:lang/>
        </w:rPr>
      </w:pPr>
      <w:r w:rsidRPr="00E2283E">
        <w:rPr>
          <w:lang/>
        </w:rPr>
        <w:t>Recommendations</w:t>
      </w:r>
    </w:p>
    <w:p w:rsidR="008F03B5" w:rsidRPr="00E2283E" w:rsidRDefault="008F03B5" w:rsidP="00E2283E">
      <w:pPr>
        <w:bidi w:val="0"/>
        <w:spacing w:after="0" w:line="360" w:lineRule="auto"/>
        <w:ind w:firstLine="425"/>
        <w:jc w:val="both"/>
        <w:rPr>
          <w:lang/>
        </w:rPr>
      </w:pPr>
      <w:r w:rsidRPr="00E2283E">
        <w:rPr>
          <w:lang/>
        </w:rPr>
        <w:t>In CLD, serum IGF-I can be used as an index of severity of liver disease along with Child Pugh score.</w:t>
      </w:r>
    </w:p>
    <w:p w:rsidR="008F03B5" w:rsidRPr="00E2283E" w:rsidRDefault="008F03B5" w:rsidP="00E2283E">
      <w:pPr>
        <w:bidi w:val="0"/>
        <w:spacing w:after="0" w:line="360" w:lineRule="auto"/>
        <w:ind w:firstLine="425"/>
        <w:jc w:val="both"/>
        <w:rPr>
          <w:lang/>
        </w:rPr>
      </w:pPr>
      <w:r w:rsidRPr="00E2283E">
        <w:rPr>
          <w:lang/>
        </w:rPr>
        <w:t>References</w:t>
      </w:r>
    </w:p>
    <w:p w:rsidR="008F03B5" w:rsidRPr="00E2283E" w:rsidRDefault="008F03B5" w:rsidP="00E2283E">
      <w:pPr>
        <w:bidi w:val="0"/>
        <w:spacing w:after="0" w:line="360" w:lineRule="auto"/>
        <w:ind w:firstLine="425"/>
        <w:jc w:val="both"/>
        <w:rPr>
          <w:lang/>
        </w:rPr>
      </w:pPr>
      <w:r w:rsidRPr="00E2283E">
        <w:rPr>
          <w:lang/>
        </w:rPr>
        <w:t xml:space="preserve">Bonefeld K and Møller S (2011): </w:t>
      </w:r>
      <w:hyperlink r:id="rId19" w:history="1">
        <w:r w:rsidRPr="00E2283E">
          <w:rPr>
            <w:lang/>
          </w:rPr>
          <w:t>Insulin-like growth factor-I and the liver.</w:t>
        </w:r>
      </w:hyperlink>
      <w:r w:rsidRPr="00E2283E">
        <w:rPr>
          <w:lang/>
        </w:rPr>
        <w:t xml:space="preserve"> Liver Int. 31 (7):911-9.</w:t>
      </w:r>
    </w:p>
    <w:p w:rsidR="008F03B5" w:rsidRPr="00E2283E" w:rsidRDefault="008F03B5" w:rsidP="00E2283E">
      <w:pPr>
        <w:bidi w:val="0"/>
        <w:spacing w:after="0" w:line="360" w:lineRule="auto"/>
        <w:ind w:firstLine="425"/>
        <w:jc w:val="both"/>
        <w:rPr>
          <w:lang/>
        </w:rPr>
      </w:pPr>
      <w:r w:rsidRPr="00E2283E">
        <w:rPr>
          <w:lang/>
        </w:rPr>
        <w:t>Caregaro L, Alberino F, Amodio P, et al.  (1997): Nutritional and prognostic significance of insulin-like growth factor 1 in patients with liver cirrhosis . Nutrition. 13(3):185-90.</w:t>
      </w:r>
    </w:p>
    <w:p w:rsidR="008F03B5" w:rsidRPr="00E2283E" w:rsidRDefault="008F03B5" w:rsidP="00E2283E">
      <w:pPr>
        <w:shd w:val="clear" w:color="auto" w:fill="FFFFFF"/>
        <w:bidi w:val="0"/>
        <w:spacing w:before="240" w:after="0" w:line="360" w:lineRule="auto"/>
        <w:ind w:firstLine="425"/>
        <w:jc w:val="both"/>
        <w:rPr>
          <w:lang/>
        </w:rPr>
      </w:pPr>
      <w:r w:rsidRPr="00E2283E">
        <w:rPr>
          <w:lang/>
        </w:rPr>
        <w:t xml:space="preserve">Clemmons DR (2012): </w:t>
      </w:r>
      <w:hyperlink r:id="rId20" w:history="1">
        <w:r w:rsidRPr="00E2283E">
          <w:rPr>
            <w:lang/>
          </w:rPr>
          <w:t>Metabolic actions of insulin-like growth factor-I in normal physiology and diabetes.</w:t>
        </w:r>
      </w:hyperlink>
      <w:r w:rsidRPr="00E2283E">
        <w:rPr>
          <w:lang/>
        </w:rPr>
        <w:t xml:space="preserve"> Endocrinol Metab Clin North Am. 41(2):425-43.</w:t>
      </w:r>
    </w:p>
    <w:p w:rsidR="008F03B5" w:rsidRPr="00E2283E" w:rsidRDefault="008F03B5" w:rsidP="00E2283E">
      <w:pPr>
        <w:shd w:val="clear" w:color="auto" w:fill="FFFFFF"/>
        <w:bidi w:val="0"/>
        <w:spacing w:before="240" w:after="0" w:line="360" w:lineRule="auto"/>
        <w:ind w:firstLine="425"/>
        <w:jc w:val="both"/>
        <w:rPr>
          <w:lang/>
        </w:rPr>
      </w:pPr>
      <w:hyperlink r:id="rId21" w:history="1">
        <w:r w:rsidRPr="00E2283E">
          <w:rPr>
            <w:lang/>
          </w:rPr>
          <w:t>Colakoğlu O</w:t>
        </w:r>
      </w:hyperlink>
      <w:r w:rsidRPr="00E2283E">
        <w:rPr>
          <w:lang/>
        </w:rPr>
        <w:t xml:space="preserve">, </w:t>
      </w:r>
      <w:hyperlink r:id="rId22" w:history="1">
        <w:r w:rsidRPr="00E2283E">
          <w:rPr>
            <w:lang/>
          </w:rPr>
          <w:t>Taşkiran B</w:t>
        </w:r>
      </w:hyperlink>
      <w:r w:rsidRPr="00E2283E">
        <w:rPr>
          <w:lang/>
        </w:rPr>
        <w:t xml:space="preserve">, </w:t>
      </w:r>
      <w:hyperlink r:id="rId23" w:history="1">
        <w:r w:rsidRPr="00E2283E">
          <w:rPr>
            <w:lang/>
          </w:rPr>
          <w:t>Colakoğlu G</w:t>
        </w:r>
      </w:hyperlink>
      <w:r w:rsidRPr="00E2283E">
        <w:rPr>
          <w:lang/>
        </w:rPr>
        <w:t xml:space="preserve">, </w:t>
      </w:r>
      <w:hyperlink r:id="rId24" w:history="1">
        <w:r w:rsidRPr="00E2283E">
          <w:rPr>
            <w:lang/>
          </w:rPr>
          <w:t>Kizildağ S</w:t>
        </w:r>
      </w:hyperlink>
      <w:r w:rsidRPr="00E2283E">
        <w:rPr>
          <w:lang/>
        </w:rPr>
        <w:t xml:space="preserve">, </w:t>
      </w:r>
      <w:hyperlink r:id="rId25" w:history="1">
        <w:r w:rsidRPr="00E2283E">
          <w:rPr>
            <w:lang/>
          </w:rPr>
          <w:t>Ari Ozcan F</w:t>
        </w:r>
      </w:hyperlink>
      <w:r w:rsidRPr="00E2283E">
        <w:rPr>
          <w:lang/>
        </w:rPr>
        <w:t xml:space="preserve">, and </w:t>
      </w:r>
      <w:hyperlink r:id="rId26" w:history="1">
        <w:r w:rsidRPr="00E2283E">
          <w:rPr>
            <w:lang/>
          </w:rPr>
          <w:t>Unsal B</w:t>
        </w:r>
      </w:hyperlink>
      <w:r w:rsidRPr="00E2283E">
        <w:rPr>
          <w:lang/>
        </w:rPr>
        <w:t xml:space="preserve"> (2007): Serum insulin like growth factor-1 (IGF-1) and insulin like growth factor binding protein-3 (IGFBP-3) levels in liver cirrhosis. </w:t>
      </w:r>
      <w:hyperlink r:id="rId27" w:tooltip="The Turkish journal of gastroenterology : the official journal of Turkish Society of Gastroenterology." w:history="1">
        <w:r w:rsidRPr="00E2283E">
          <w:rPr>
            <w:lang/>
          </w:rPr>
          <w:t>Turk J Gastroenterol.</w:t>
        </w:r>
      </w:hyperlink>
      <w:r w:rsidRPr="00E2283E">
        <w:rPr>
          <w:lang/>
        </w:rPr>
        <w:t xml:space="preserve"> 18 (4):245-9.</w:t>
      </w:r>
    </w:p>
    <w:p w:rsidR="008F03B5" w:rsidRPr="00E2283E" w:rsidRDefault="008F03B5" w:rsidP="00E2283E">
      <w:pPr>
        <w:shd w:val="clear" w:color="auto" w:fill="FFFFFF"/>
        <w:bidi w:val="0"/>
        <w:spacing w:before="240" w:after="0" w:line="360" w:lineRule="auto"/>
        <w:ind w:firstLine="425"/>
        <w:jc w:val="both"/>
        <w:outlineLvl w:val="0"/>
        <w:rPr>
          <w:lang/>
        </w:rPr>
      </w:pPr>
      <w:hyperlink r:id="rId28" w:history="1">
        <w:r w:rsidRPr="00E2283E">
          <w:rPr>
            <w:lang/>
          </w:rPr>
          <w:t>Dehghani SM</w:t>
        </w:r>
      </w:hyperlink>
      <w:r w:rsidRPr="00E2283E">
        <w:rPr>
          <w:lang/>
        </w:rPr>
        <w:t xml:space="preserve">, </w:t>
      </w:r>
      <w:hyperlink r:id="rId29" w:history="1">
        <w:r w:rsidRPr="00E2283E">
          <w:rPr>
            <w:lang/>
          </w:rPr>
          <w:t>Karamifar H</w:t>
        </w:r>
      </w:hyperlink>
      <w:r w:rsidRPr="00E2283E">
        <w:rPr>
          <w:lang/>
        </w:rPr>
        <w:t xml:space="preserve">, </w:t>
      </w:r>
      <w:hyperlink r:id="rId30" w:history="1">
        <w:r w:rsidRPr="00E2283E">
          <w:rPr>
            <w:lang/>
          </w:rPr>
          <w:t>Hamzavi SS</w:t>
        </w:r>
      </w:hyperlink>
      <w:r w:rsidRPr="00E2283E">
        <w:rPr>
          <w:lang/>
        </w:rPr>
        <w:t xml:space="preserve">, </w:t>
      </w:r>
      <w:hyperlink r:id="rId31" w:history="1">
        <w:r w:rsidRPr="00E2283E">
          <w:rPr>
            <w:lang/>
          </w:rPr>
          <w:t>Haghighat M</w:t>
        </w:r>
      </w:hyperlink>
      <w:r w:rsidRPr="00E2283E">
        <w:rPr>
          <w:lang/>
        </w:rPr>
        <w:t xml:space="preserve">, and </w:t>
      </w:r>
      <w:hyperlink r:id="rId32" w:history="1">
        <w:r w:rsidRPr="00E2283E">
          <w:rPr>
            <w:lang/>
          </w:rPr>
          <w:t>Malek-Hosseini SA</w:t>
        </w:r>
      </w:hyperlink>
      <w:r w:rsidRPr="00E2283E">
        <w:rPr>
          <w:lang/>
        </w:rPr>
        <w:t xml:space="preserve"> (2012): Serum insulin like growth factor-1 and its binding protein-3 levels in children with cirrhosis waiting for a liver transplant. </w:t>
      </w:r>
      <w:hyperlink r:id="rId33" w:tooltip="Experimental and clinical transplantation : official journal of the Middle East Society for Organ Transplantation." w:history="1">
        <w:r w:rsidRPr="00E2283E">
          <w:rPr>
            <w:lang/>
          </w:rPr>
          <w:t>Exp Clin Transplant.</w:t>
        </w:r>
      </w:hyperlink>
      <w:r w:rsidRPr="00E2283E">
        <w:rPr>
          <w:lang/>
        </w:rPr>
        <w:t xml:space="preserve"> 10  (3):252-7.</w:t>
      </w:r>
    </w:p>
    <w:p w:rsidR="008F03B5" w:rsidRPr="00E2283E" w:rsidRDefault="008F03B5" w:rsidP="00E2283E">
      <w:pPr>
        <w:shd w:val="clear" w:color="auto" w:fill="FFFFFF"/>
        <w:bidi w:val="0"/>
        <w:spacing w:before="240" w:after="0" w:line="360" w:lineRule="auto"/>
        <w:ind w:firstLine="425"/>
        <w:jc w:val="both"/>
        <w:outlineLvl w:val="0"/>
        <w:rPr>
          <w:lang/>
        </w:rPr>
      </w:pPr>
      <w:r w:rsidRPr="00E2283E">
        <w:rPr>
          <w:lang/>
        </w:rPr>
        <w:t>Donaghy AJ, Delhanty PJ, Ho KK, et al. (2002): Regulation of the growth hormone receptor/binding protein, insulin-like growth factor ternary complex system in human cirrhosis. J Hepatol. 36: 751–8.</w:t>
      </w:r>
    </w:p>
    <w:p w:rsidR="008F03B5" w:rsidRPr="00E2283E" w:rsidRDefault="008F03B5" w:rsidP="00E2283E">
      <w:pPr>
        <w:autoSpaceDE w:val="0"/>
        <w:autoSpaceDN w:val="0"/>
        <w:bidi w:val="0"/>
        <w:adjustRightInd w:val="0"/>
        <w:spacing w:before="240" w:after="0" w:line="360" w:lineRule="auto"/>
        <w:ind w:firstLine="425"/>
        <w:jc w:val="both"/>
        <w:rPr>
          <w:lang/>
        </w:rPr>
      </w:pPr>
      <w:r w:rsidRPr="00E2283E">
        <w:rPr>
          <w:lang/>
        </w:rPr>
        <w:t>Egyptian Growth Charts (2002): Cairo University. Diabetic Endocrine and Metabolic Pediatric Unit and the National Research Centre-Cairo, in collaboration with Wright State University. School of Medicine. Department of Community Health Lifespan. Health Research Center. From a total sample size of 33189 girls and boys (birth-21 years).</w:t>
      </w:r>
    </w:p>
    <w:p w:rsidR="008F03B5" w:rsidRPr="00E2283E" w:rsidRDefault="008F03B5" w:rsidP="00E2283E">
      <w:pPr>
        <w:autoSpaceDE w:val="0"/>
        <w:autoSpaceDN w:val="0"/>
        <w:bidi w:val="0"/>
        <w:adjustRightInd w:val="0"/>
        <w:spacing w:before="240" w:after="0" w:line="360" w:lineRule="auto"/>
        <w:ind w:firstLine="425"/>
        <w:jc w:val="both"/>
        <w:rPr>
          <w:lang/>
        </w:rPr>
      </w:pPr>
      <w:r w:rsidRPr="00E2283E">
        <w:rPr>
          <w:lang/>
        </w:rPr>
        <w:t>Frisancho AR (1990): Anthropometric Standards for the Assessment of Growth and Nutritional Status. Ann Arbor: University of Michigan Press; 1990.</w:t>
      </w:r>
    </w:p>
    <w:p w:rsidR="008F03B5" w:rsidRPr="00E2283E" w:rsidRDefault="008F03B5" w:rsidP="00E2283E">
      <w:pPr>
        <w:autoSpaceDE w:val="0"/>
        <w:autoSpaceDN w:val="0"/>
        <w:bidi w:val="0"/>
        <w:adjustRightInd w:val="0"/>
        <w:spacing w:before="240" w:after="0" w:line="360" w:lineRule="auto"/>
        <w:ind w:firstLine="425"/>
        <w:jc w:val="both"/>
        <w:rPr>
          <w:lang/>
        </w:rPr>
      </w:pPr>
      <w:r w:rsidRPr="00E2283E">
        <w:rPr>
          <w:lang/>
        </w:rPr>
        <w:t>Gurney JM and Jelliffe DB (1973): Arm anthropometry in nutritional assessment: nomogram for rapid calculation of muscle circumference and cross sectional muscle and fat areas. Am J Clin Nutr.26: 912–5.</w:t>
      </w:r>
    </w:p>
    <w:p w:rsidR="008F03B5" w:rsidRPr="00E2283E" w:rsidRDefault="008F03B5" w:rsidP="00E2283E">
      <w:pPr>
        <w:shd w:val="clear" w:color="auto" w:fill="FFFFFF"/>
        <w:bidi w:val="0"/>
        <w:spacing w:before="240" w:after="0" w:line="360" w:lineRule="auto"/>
        <w:ind w:firstLine="425"/>
        <w:jc w:val="both"/>
        <w:outlineLvl w:val="0"/>
        <w:rPr>
          <w:lang/>
        </w:rPr>
      </w:pPr>
      <w:hyperlink r:id="rId34" w:history="1">
        <w:r w:rsidRPr="00E2283E">
          <w:rPr>
            <w:lang/>
          </w:rPr>
          <w:t>Hurtado-López EF</w:t>
        </w:r>
      </w:hyperlink>
      <w:r w:rsidRPr="00E2283E">
        <w:rPr>
          <w:lang/>
        </w:rPr>
        <w:t xml:space="preserve">, </w:t>
      </w:r>
      <w:hyperlink r:id="rId35" w:history="1">
        <w:r w:rsidRPr="00E2283E">
          <w:rPr>
            <w:lang/>
          </w:rPr>
          <w:t>Larrosa-Haro A</w:t>
        </w:r>
      </w:hyperlink>
      <w:r w:rsidRPr="00E2283E">
        <w:rPr>
          <w:lang/>
        </w:rPr>
        <w:t xml:space="preserve">, </w:t>
      </w:r>
      <w:hyperlink r:id="rId36" w:history="1">
        <w:r w:rsidRPr="00E2283E">
          <w:rPr>
            <w:lang/>
          </w:rPr>
          <w:t>Vásquez-Garibay EM</w:t>
        </w:r>
      </w:hyperlink>
      <w:r w:rsidRPr="00E2283E">
        <w:rPr>
          <w:lang/>
        </w:rPr>
        <w:t xml:space="preserve">, </w:t>
      </w:r>
      <w:hyperlink r:id="rId37" w:history="1">
        <w:r w:rsidRPr="00E2283E">
          <w:rPr>
            <w:lang/>
          </w:rPr>
          <w:t>Macías-Rosales R</w:t>
        </w:r>
      </w:hyperlink>
      <w:r w:rsidRPr="00E2283E">
        <w:rPr>
          <w:lang/>
        </w:rPr>
        <w:t xml:space="preserve">, </w:t>
      </w:r>
      <w:hyperlink r:id="rId38" w:history="1">
        <w:r w:rsidRPr="00E2283E">
          <w:rPr>
            <w:lang/>
          </w:rPr>
          <w:t>Troyo-Sanromán R</w:t>
        </w:r>
      </w:hyperlink>
      <w:r w:rsidRPr="00E2283E">
        <w:rPr>
          <w:lang/>
        </w:rPr>
        <w:t xml:space="preserve">, and </w:t>
      </w:r>
      <w:hyperlink r:id="rId39" w:history="1">
        <w:r w:rsidRPr="00E2283E">
          <w:rPr>
            <w:lang/>
          </w:rPr>
          <w:t>Bojórquez-Ramos MC</w:t>
        </w:r>
      </w:hyperlink>
      <w:r w:rsidRPr="00E2283E">
        <w:rPr>
          <w:lang/>
        </w:rPr>
        <w:t xml:space="preserve"> (2007): Liver function test results predict nutritional status evaluated by arm anthropometric indicators. </w:t>
      </w:r>
      <w:hyperlink r:id="rId40" w:tooltip="Journal of pediatric gastroenterology and nutrition." w:history="1">
        <w:r w:rsidRPr="00E2283E">
          <w:rPr>
            <w:lang/>
          </w:rPr>
          <w:t>J Pediatr Gastroenterol Nutr.</w:t>
        </w:r>
      </w:hyperlink>
      <w:r w:rsidRPr="00E2283E">
        <w:rPr>
          <w:lang/>
        </w:rPr>
        <w:t xml:space="preserve"> 45 (4):451-7.</w:t>
      </w:r>
    </w:p>
    <w:p w:rsidR="008F03B5" w:rsidRPr="00E2283E" w:rsidRDefault="008F03B5" w:rsidP="00E2283E">
      <w:pPr>
        <w:autoSpaceDE w:val="0"/>
        <w:autoSpaceDN w:val="0"/>
        <w:bidi w:val="0"/>
        <w:adjustRightInd w:val="0"/>
        <w:spacing w:before="240" w:after="0" w:line="360" w:lineRule="auto"/>
        <w:ind w:firstLine="425"/>
        <w:jc w:val="both"/>
        <w:rPr>
          <w:lang/>
        </w:rPr>
      </w:pPr>
      <w:r w:rsidRPr="00E2283E">
        <w:rPr>
          <w:lang/>
        </w:rPr>
        <w:t>Jeliffe DB (1963): The incidence of protein-calorie malnutrition of early childhood. Am J Public Health.53:905–12.</w:t>
      </w:r>
    </w:p>
    <w:p w:rsidR="008F03B5" w:rsidRPr="00E2283E" w:rsidRDefault="008F03B5" w:rsidP="00E2283E">
      <w:pPr>
        <w:shd w:val="clear" w:color="auto" w:fill="FFFFFF"/>
        <w:bidi w:val="0"/>
        <w:spacing w:before="240" w:after="0" w:line="360" w:lineRule="auto"/>
        <w:ind w:firstLine="425"/>
        <w:jc w:val="both"/>
        <w:outlineLvl w:val="0"/>
        <w:rPr>
          <w:lang/>
        </w:rPr>
      </w:pPr>
      <w:hyperlink r:id="rId41" w:history="1">
        <w:r w:rsidRPr="00E2283E">
          <w:rPr>
            <w:lang/>
          </w:rPr>
          <w:t>Khoshnood A</w:t>
        </w:r>
      </w:hyperlink>
      <w:r w:rsidRPr="00E2283E">
        <w:rPr>
          <w:lang/>
        </w:rPr>
        <w:t xml:space="preserve">, </w:t>
      </w:r>
      <w:hyperlink r:id="rId42" w:history="1">
        <w:r w:rsidRPr="00E2283E">
          <w:rPr>
            <w:lang/>
          </w:rPr>
          <w:t>Nasiri Toosi M</w:t>
        </w:r>
      </w:hyperlink>
      <w:r w:rsidRPr="00E2283E">
        <w:rPr>
          <w:lang/>
        </w:rPr>
        <w:t xml:space="preserve">, </w:t>
      </w:r>
      <w:hyperlink r:id="rId43" w:history="1">
        <w:r w:rsidRPr="00E2283E">
          <w:rPr>
            <w:lang/>
          </w:rPr>
          <w:t>Faravash MJ</w:t>
        </w:r>
      </w:hyperlink>
      <w:r w:rsidRPr="00E2283E">
        <w:rPr>
          <w:lang/>
        </w:rPr>
        <w:t xml:space="preserve">, et al. (2013): A survey of correlation between insulin-like growth factor-I (igf-I) levels and severity of liver cirrhosis. </w:t>
      </w:r>
      <w:hyperlink r:id="rId44" w:tooltip="Hepatitis monthly." w:history="1">
        <w:r w:rsidRPr="00E2283E">
          <w:rPr>
            <w:lang/>
          </w:rPr>
          <w:t>Hepat Mon.</w:t>
        </w:r>
      </w:hyperlink>
      <w:r w:rsidRPr="00E2283E">
        <w:rPr>
          <w:lang/>
        </w:rPr>
        <w:t xml:space="preserve"> 13(2):e6181</w:t>
      </w:r>
    </w:p>
    <w:p w:rsidR="008F03B5" w:rsidRPr="00E2283E" w:rsidRDefault="008F03B5" w:rsidP="00E2283E">
      <w:pPr>
        <w:shd w:val="clear" w:color="auto" w:fill="FFFFFF"/>
        <w:bidi w:val="0"/>
        <w:spacing w:before="240" w:after="0" w:line="360" w:lineRule="auto"/>
        <w:ind w:firstLine="425"/>
        <w:jc w:val="both"/>
        <w:rPr>
          <w:lang/>
        </w:rPr>
      </w:pPr>
      <w:hyperlink r:id="rId45" w:history="1">
        <w:r w:rsidRPr="00E2283E">
          <w:rPr>
            <w:lang/>
          </w:rPr>
          <w:t>Livingstone C</w:t>
        </w:r>
      </w:hyperlink>
      <w:r w:rsidRPr="00E2283E">
        <w:rPr>
          <w:lang/>
        </w:rPr>
        <w:t xml:space="preserve"> (2013): Insulin-like growth factor-I (IGF-I) and clinical nutrition. </w:t>
      </w:r>
      <w:hyperlink r:id="rId46" w:tooltip="Clinical science (London, England : 1979)." w:history="1">
        <w:r w:rsidRPr="00E2283E">
          <w:rPr>
            <w:lang/>
          </w:rPr>
          <w:t>Clin Sci (Lond).</w:t>
        </w:r>
      </w:hyperlink>
      <w:r w:rsidRPr="00E2283E">
        <w:rPr>
          <w:lang/>
        </w:rPr>
        <w:t xml:space="preserve"> 125 (6):265-80.</w:t>
      </w:r>
    </w:p>
    <w:p w:rsidR="008F03B5" w:rsidRPr="00E2283E" w:rsidRDefault="008F03B5" w:rsidP="00E2283E">
      <w:pPr>
        <w:shd w:val="clear" w:color="auto" w:fill="FFFFFF"/>
        <w:bidi w:val="0"/>
        <w:spacing w:before="240" w:after="0" w:line="360" w:lineRule="auto"/>
        <w:ind w:firstLine="425"/>
        <w:jc w:val="both"/>
        <w:rPr>
          <w:lang/>
        </w:rPr>
      </w:pPr>
      <w:r w:rsidRPr="00E2283E">
        <w:rPr>
          <w:lang/>
        </w:rPr>
        <w:t>Lucey MR, Brown KA, Everson GT, et al.  (1997): Minimal criteria for placement of adults on the liver transplant waiting list: a report of a national conference organized by the American Society of Transplant Physicians and the American Association for the Study of Liver Diseases. Liver Transpl Surg. 3(6):628-37.</w:t>
      </w:r>
    </w:p>
    <w:p w:rsidR="008F03B5" w:rsidRPr="00E2283E" w:rsidRDefault="008F03B5" w:rsidP="00E2283E">
      <w:pPr>
        <w:bidi w:val="0"/>
        <w:spacing w:after="0" w:line="360" w:lineRule="auto"/>
        <w:ind w:firstLine="425"/>
        <w:jc w:val="both"/>
        <w:rPr>
          <w:lang/>
        </w:rPr>
      </w:pPr>
      <w:r w:rsidRPr="00E2283E">
        <w:rPr>
          <w:lang/>
        </w:rPr>
        <w:t>Machin D , Campbell MJ, and Walters SJ (2007):  Medical Statistics : A Textbook for the Health Sciences. (4th Ed) 331pp. Chichester John Wiley &amp; Sons Ltd.</w:t>
      </w:r>
    </w:p>
    <w:p w:rsidR="008F03B5" w:rsidRPr="00E2283E" w:rsidRDefault="008F03B5" w:rsidP="00E2283E">
      <w:pPr>
        <w:shd w:val="clear" w:color="auto" w:fill="FFFFFF"/>
        <w:spacing w:before="240" w:line="360" w:lineRule="auto"/>
        <w:ind w:firstLine="425"/>
        <w:jc w:val="both"/>
        <w:rPr>
          <w:lang/>
        </w:rPr>
      </w:pPr>
      <w:r w:rsidRPr="00E2283E">
        <w:rPr>
          <w:lang/>
        </w:rPr>
        <w:t xml:space="preserve">Nightingale S and Ng VL (2009): </w:t>
      </w:r>
      <w:hyperlink r:id="rId47" w:history="1">
        <w:r w:rsidRPr="00E2283E">
          <w:rPr>
            <w:lang/>
          </w:rPr>
          <w:t>Optimizing nutritional management in children with chronic liver disease.</w:t>
        </w:r>
      </w:hyperlink>
      <w:r w:rsidRPr="00E2283E">
        <w:rPr>
          <w:lang/>
        </w:rPr>
        <w:t xml:space="preserve"> Pediatr Clin North Am. 56(5):1161-83.</w:t>
      </w:r>
    </w:p>
    <w:p w:rsidR="008F03B5" w:rsidRPr="00E2283E" w:rsidRDefault="008F03B5" w:rsidP="00E2283E">
      <w:pPr>
        <w:shd w:val="clear" w:color="auto" w:fill="FFFFFF"/>
        <w:bidi w:val="0"/>
        <w:spacing w:before="240" w:after="0" w:line="360" w:lineRule="auto"/>
        <w:ind w:firstLine="425"/>
        <w:jc w:val="both"/>
        <w:outlineLvl w:val="0"/>
        <w:rPr>
          <w:lang/>
        </w:rPr>
      </w:pPr>
      <w:hyperlink r:id="rId48" w:history="1">
        <w:r w:rsidRPr="00E2283E">
          <w:rPr>
            <w:lang/>
          </w:rPr>
          <w:t>Puche JE</w:t>
        </w:r>
      </w:hyperlink>
      <w:r w:rsidRPr="00E2283E">
        <w:rPr>
          <w:lang/>
        </w:rPr>
        <w:t xml:space="preserve"> and </w:t>
      </w:r>
      <w:hyperlink r:id="rId49" w:history="1">
        <w:r w:rsidRPr="00E2283E">
          <w:rPr>
            <w:lang/>
          </w:rPr>
          <w:t>Castilla-Cortázar I</w:t>
        </w:r>
      </w:hyperlink>
      <w:r w:rsidRPr="00E2283E">
        <w:rPr>
          <w:lang/>
        </w:rPr>
        <w:t xml:space="preserve"> (2012): Human conditions of insulin-like growth factor-I (IGF-I) deficiency. </w:t>
      </w:r>
      <w:hyperlink r:id="rId50" w:tooltip="Journal of translational medicine." w:history="1">
        <w:r w:rsidRPr="00E2283E">
          <w:rPr>
            <w:lang/>
          </w:rPr>
          <w:t>J Transl Med.</w:t>
        </w:r>
      </w:hyperlink>
      <w:r w:rsidRPr="00E2283E">
        <w:rPr>
          <w:lang/>
        </w:rPr>
        <w:t xml:space="preserve"> 14;10 :224.</w:t>
      </w:r>
    </w:p>
    <w:p w:rsidR="008F03B5" w:rsidRPr="00E2283E" w:rsidRDefault="008F03B5" w:rsidP="00E2283E">
      <w:pPr>
        <w:shd w:val="clear" w:color="auto" w:fill="FFFFFF"/>
        <w:spacing w:before="240" w:after="0" w:line="360" w:lineRule="auto"/>
        <w:ind w:firstLine="425"/>
        <w:jc w:val="both"/>
        <w:rPr>
          <w:lang/>
        </w:rPr>
      </w:pPr>
      <w:r w:rsidRPr="00E2283E">
        <w:rPr>
          <w:lang/>
        </w:rPr>
        <w:t>Pugh RN, Murray-Lyon IM, Dawson JL, Pietroni MC, and Williams R (1973):  Transection of the oesophagus for bleeding oesophageal varices. Br J Surg. Br J Surg. 60(8):646-9.</w:t>
      </w:r>
    </w:p>
    <w:p w:rsidR="008F03B5" w:rsidRPr="00E2283E" w:rsidRDefault="008F03B5" w:rsidP="00E2283E">
      <w:pPr>
        <w:shd w:val="clear" w:color="auto" w:fill="FFFFFF"/>
        <w:bidi w:val="0"/>
        <w:spacing w:before="240" w:after="0" w:line="360" w:lineRule="auto"/>
        <w:ind w:firstLine="425"/>
        <w:jc w:val="both"/>
        <w:outlineLvl w:val="0"/>
        <w:rPr>
          <w:lang/>
        </w:rPr>
      </w:pPr>
      <w:hyperlink r:id="rId51" w:history="1">
        <w:r w:rsidRPr="00E2283E">
          <w:rPr>
            <w:lang/>
          </w:rPr>
          <w:t>Ronsoni MF</w:t>
        </w:r>
      </w:hyperlink>
      <w:r w:rsidRPr="00E2283E">
        <w:rPr>
          <w:lang/>
        </w:rPr>
        <w:t xml:space="preserve">, </w:t>
      </w:r>
      <w:hyperlink r:id="rId52" w:history="1">
        <w:r w:rsidRPr="00E2283E">
          <w:rPr>
            <w:lang/>
          </w:rPr>
          <w:t>Lazzarotto C</w:t>
        </w:r>
      </w:hyperlink>
      <w:r w:rsidRPr="00E2283E">
        <w:rPr>
          <w:lang/>
        </w:rPr>
        <w:t xml:space="preserve">, </w:t>
      </w:r>
      <w:hyperlink r:id="rId53" w:history="1">
        <w:r w:rsidRPr="00E2283E">
          <w:rPr>
            <w:lang/>
          </w:rPr>
          <w:t>Fayad L</w:t>
        </w:r>
      </w:hyperlink>
      <w:r w:rsidRPr="00E2283E">
        <w:rPr>
          <w:lang/>
        </w:rPr>
        <w:t xml:space="preserve">, et al.   (2013): IGF-I and IGFBP-3 serum levels in patients hospitalized for complications of liver cirrhosis. </w:t>
      </w:r>
      <w:hyperlink r:id="rId54" w:tooltip="Annals of hepatology." w:history="1">
        <w:r w:rsidRPr="00E2283E">
          <w:rPr>
            <w:lang/>
          </w:rPr>
          <w:t>Ann Hepatol.</w:t>
        </w:r>
      </w:hyperlink>
      <w:r w:rsidRPr="00E2283E">
        <w:rPr>
          <w:lang/>
        </w:rPr>
        <w:t xml:space="preserve"> 12 (3):456-63.</w:t>
      </w:r>
    </w:p>
    <w:p w:rsidR="008F03B5" w:rsidRPr="00E2283E" w:rsidRDefault="008F03B5" w:rsidP="00E2283E">
      <w:pPr>
        <w:shd w:val="clear" w:color="auto" w:fill="FFFFFF"/>
        <w:spacing w:before="240" w:after="0" w:line="360" w:lineRule="auto"/>
        <w:ind w:firstLine="425"/>
        <w:jc w:val="both"/>
        <w:rPr>
          <w:lang/>
        </w:rPr>
      </w:pPr>
      <w:r w:rsidRPr="00E2283E">
        <w:rPr>
          <w:lang/>
        </w:rPr>
        <w:t>Roongpisuthipong C, Sobhonslidsuk A, Nantiruj K, and Songchitsomboon S. (2001):  Nutritional assessment in various stages of liver cirrhosis. Nutrition. 17(9):761-5.</w:t>
      </w:r>
    </w:p>
    <w:p w:rsidR="008F03B5" w:rsidRPr="00E2283E" w:rsidRDefault="008F03B5" w:rsidP="00E2283E">
      <w:pPr>
        <w:shd w:val="clear" w:color="auto" w:fill="FFFFFF"/>
        <w:bidi w:val="0"/>
        <w:spacing w:before="240" w:after="0" w:line="360" w:lineRule="auto"/>
        <w:ind w:firstLine="425"/>
        <w:jc w:val="both"/>
        <w:outlineLvl w:val="0"/>
        <w:rPr>
          <w:lang/>
        </w:rPr>
      </w:pPr>
      <w:r w:rsidRPr="00E2283E">
        <w:rPr>
          <w:lang/>
        </w:rPr>
        <w:t>Sanchez AJ and Aranda-Michel J (2006):  Liver disease and osteoporosis. Nutr Clin Pract. 21: 273–278.</w:t>
      </w:r>
    </w:p>
    <w:p w:rsidR="008F03B5" w:rsidRPr="00E2283E" w:rsidRDefault="008F03B5" w:rsidP="00E2283E">
      <w:pPr>
        <w:autoSpaceDE w:val="0"/>
        <w:autoSpaceDN w:val="0"/>
        <w:bidi w:val="0"/>
        <w:adjustRightInd w:val="0"/>
        <w:spacing w:before="240" w:after="0" w:line="360" w:lineRule="auto"/>
        <w:ind w:firstLine="425"/>
        <w:jc w:val="both"/>
        <w:rPr>
          <w:lang/>
        </w:rPr>
      </w:pPr>
      <w:r w:rsidRPr="00E2283E">
        <w:rPr>
          <w:lang/>
        </w:rPr>
        <w:t xml:space="preserve">Sann L, Durand M, Picard J, </w:t>
      </w:r>
      <w:hyperlink r:id="rId55" w:history="1">
        <w:r w:rsidRPr="00E2283E">
          <w:rPr>
            <w:lang/>
          </w:rPr>
          <w:t>Lasne Y</w:t>
        </w:r>
      </w:hyperlink>
      <w:r w:rsidRPr="00E2283E">
        <w:rPr>
          <w:lang/>
        </w:rPr>
        <w:t xml:space="preserve">, and </w:t>
      </w:r>
      <w:hyperlink r:id="rId56" w:history="1">
        <w:r w:rsidRPr="00E2283E">
          <w:rPr>
            <w:lang/>
          </w:rPr>
          <w:t>Bethenod M</w:t>
        </w:r>
      </w:hyperlink>
      <w:r w:rsidRPr="00E2283E">
        <w:rPr>
          <w:lang/>
        </w:rPr>
        <w:t xml:space="preserve"> (1988): Arm fat and muscle areas in infancy. Arch Dis Child.63:256–60.</w:t>
      </w:r>
    </w:p>
    <w:p w:rsidR="008F03B5" w:rsidRPr="00E2283E" w:rsidRDefault="008F03B5" w:rsidP="00E2283E">
      <w:pPr>
        <w:shd w:val="clear" w:color="auto" w:fill="FFFFFF"/>
        <w:bidi w:val="0"/>
        <w:spacing w:before="240" w:after="0" w:line="360" w:lineRule="auto"/>
        <w:ind w:firstLine="425"/>
        <w:jc w:val="both"/>
        <w:outlineLvl w:val="0"/>
        <w:rPr>
          <w:lang/>
        </w:rPr>
      </w:pPr>
      <w:r w:rsidRPr="00E2283E">
        <w:rPr>
          <w:lang/>
        </w:rPr>
        <w:t>Sedlaczek N, Hasilik A, Neuhaus P, Schuppan D, and Herbst H (2003):  Focal over expression of insulin-like growth factor 2 by hepatocytes and cholangiocytes in viral liver cirrhosis. Br J Cancer; 88: 733-739.</w:t>
      </w:r>
    </w:p>
    <w:p w:rsidR="008F03B5" w:rsidRPr="00E2283E" w:rsidRDefault="008F03B5" w:rsidP="00E2283E">
      <w:pPr>
        <w:autoSpaceDE w:val="0"/>
        <w:autoSpaceDN w:val="0"/>
        <w:bidi w:val="0"/>
        <w:adjustRightInd w:val="0"/>
        <w:spacing w:before="240" w:after="0" w:line="360" w:lineRule="auto"/>
        <w:ind w:firstLine="425"/>
        <w:jc w:val="both"/>
        <w:rPr>
          <w:lang/>
        </w:rPr>
      </w:pPr>
      <w:r w:rsidRPr="00E2283E">
        <w:rPr>
          <w:lang/>
        </w:rPr>
        <w:t>Shepherd R (2008): Complications and Management of Chronic Liver Disease. In Kelly D (Ed.). Diseases of the Liver and Biliary System in Children. 3rd ed. Birmingham, UK. Blackwell Publishing. pp.351-377.</w:t>
      </w:r>
    </w:p>
    <w:p w:rsidR="008F03B5" w:rsidRPr="00E2283E" w:rsidRDefault="008F03B5" w:rsidP="00E2283E">
      <w:pPr>
        <w:autoSpaceDE w:val="0"/>
        <w:autoSpaceDN w:val="0"/>
        <w:bidi w:val="0"/>
        <w:adjustRightInd w:val="0"/>
        <w:spacing w:before="240" w:after="0" w:line="360" w:lineRule="auto"/>
        <w:ind w:firstLine="425"/>
        <w:jc w:val="both"/>
        <w:rPr>
          <w:rFonts w:eastAsia="HelveticaNeue-Roman"/>
          <w:lang/>
        </w:rPr>
      </w:pPr>
      <w:r w:rsidRPr="00E2283E">
        <w:rPr>
          <w:rFonts w:eastAsia="HelveticaNeue-Roman"/>
          <w:lang/>
        </w:rPr>
        <w:t>Socha P (2008): Nutritional management of cholestatic syndromes in childhood. Ann Nestle 2008; 66: 137-47.</w:t>
      </w:r>
    </w:p>
    <w:p w:rsidR="008F03B5" w:rsidRPr="00E2283E" w:rsidRDefault="008F03B5" w:rsidP="00E2283E">
      <w:pPr>
        <w:shd w:val="clear" w:color="auto" w:fill="FFFFFF"/>
        <w:bidi w:val="0"/>
        <w:spacing w:before="240" w:after="0" w:line="360" w:lineRule="auto"/>
        <w:ind w:firstLine="425"/>
        <w:jc w:val="both"/>
        <w:outlineLvl w:val="0"/>
        <w:rPr>
          <w:lang/>
        </w:rPr>
      </w:pPr>
      <w:r w:rsidRPr="00E2283E">
        <w:rPr>
          <w:lang/>
        </w:rPr>
        <w:t>Stephenson GR, Moretti EW, El-Moalem H, Clavien PA, and Tuttle-Newhall JE (2001): Malnutrition in liver transplant patients: pre operative subjective global assessment is predictive of outcome after liver transplantation. Transplantation. 72 (4):666-70.</w:t>
      </w:r>
    </w:p>
    <w:p w:rsidR="008F03B5" w:rsidRPr="00E2283E" w:rsidRDefault="008F03B5" w:rsidP="00E2283E">
      <w:pPr>
        <w:autoSpaceDE w:val="0"/>
        <w:autoSpaceDN w:val="0"/>
        <w:bidi w:val="0"/>
        <w:adjustRightInd w:val="0"/>
        <w:spacing w:before="240" w:after="0" w:line="360" w:lineRule="auto"/>
        <w:ind w:firstLine="425"/>
        <w:jc w:val="both"/>
        <w:rPr>
          <w:lang/>
        </w:rPr>
      </w:pPr>
      <w:r w:rsidRPr="00E2283E">
        <w:rPr>
          <w:lang/>
        </w:rPr>
        <w:t>Tanner JM, J Hiernaux J and Jerman S  (1969): Human Biology. A guide to Field Methods. IBP Hand book. (ed) by Weiner J, lourie J. Blackwell Scientific Publications, Oxford and Edinburgh. U.K.</w:t>
      </w:r>
    </w:p>
    <w:p w:rsidR="008F03B5" w:rsidRPr="00E2283E" w:rsidRDefault="008F03B5" w:rsidP="00E2283E">
      <w:pPr>
        <w:autoSpaceDE w:val="0"/>
        <w:autoSpaceDN w:val="0"/>
        <w:bidi w:val="0"/>
        <w:adjustRightInd w:val="0"/>
        <w:spacing w:before="240" w:after="0" w:line="360" w:lineRule="auto"/>
        <w:ind w:firstLine="425"/>
        <w:jc w:val="both"/>
        <w:rPr>
          <w:rFonts w:eastAsia="HelveticaNeue-Roman"/>
          <w:lang/>
        </w:rPr>
      </w:pPr>
      <w:r w:rsidRPr="00E2283E">
        <w:rPr>
          <w:rFonts w:eastAsia="HelveticaNeue-Roman"/>
          <w:lang/>
        </w:rPr>
        <w:t xml:space="preserve">Taylor RM </w:t>
      </w:r>
      <w:r w:rsidRPr="00E2283E">
        <w:rPr>
          <w:lang/>
        </w:rPr>
        <w:t>and</w:t>
      </w:r>
      <w:r w:rsidRPr="00E2283E">
        <w:rPr>
          <w:rFonts w:eastAsia="HelveticaNeue-Roman"/>
          <w:lang/>
        </w:rPr>
        <w:t xml:space="preserve"> Dhawan A (2005): Assessing nutritional status in children with chronic liver disease. J Gastroenterol Hepatol. 20: 1817-24.</w:t>
      </w:r>
    </w:p>
    <w:p w:rsidR="008F03B5" w:rsidRPr="00E2283E" w:rsidRDefault="008F03B5" w:rsidP="00E2283E">
      <w:pPr>
        <w:shd w:val="clear" w:color="auto" w:fill="FFFFFF"/>
        <w:bidi w:val="0"/>
        <w:spacing w:before="240" w:after="0" w:line="360" w:lineRule="auto"/>
        <w:ind w:firstLine="425"/>
        <w:jc w:val="both"/>
        <w:outlineLvl w:val="0"/>
        <w:rPr>
          <w:lang/>
        </w:rPr>
      </w:pPr>
      <w:r w:rsidRPr="00E2283E">
        <w:rPr>
          <w:lang/>
        </w:rPr>
        <w:t>Vyzantiadis T, Theodoridou S, Giouleme O, Harsoulis P, Evgenidis N, and Vyzantiadis A (2003):  Serum concentrations of insulin like growth factor-I (IGF I) in patients with liver cirrhosis. Hepatogastroenterology; 50: 814-816.</w:t>
      </w:r>
    </w:p>
    <w:p w:rsidR="008F03B5" w:rsidRPr="00E2283E" w:rsidRDefault="008F03B5" w:rsidP="00E2283E">
      <w:pPr>
        <w:shd w:val="clear" w:color="auto" w:fill="FFFFFF"/>
        <w:bidi w:val="0"/>
        <w:spacing w:before="240" w:after="0" w:line="360" w:lineRule="auto"/>
        <w:ind w:firstLine="425"/>
        <w:jc w:val="both"/>
        <w:outlineLvl w:val="0"/>
        <w:rPr>
          <w:lang/>
        </w:rPr>
      </w:pPr>
      <w:r w:rsidRPr="00E2283E">
        <w:rPr>
          <w:lang/>
        </w:rPr>
        <w:t xml:space="preserve">Wu YL, Ye J, Zhang S, Zhong J, and Xi RP (2004):  </w:t>
      </w:r>
      <w:hyperlink r:id="rId57" w:history="1">
        <w:r w:rsidRPr="00E2283E">
          <w:rPr>
            <w:lang/>
          </w:rPr>
          <w:t>Clinical significance of serum IGF-I, IGF-II and IGFBP-3 in liver cirrhosis.</w:t>
        </w:r>
      </w:hyperlink>
      <w:r w:rsidRPr="00E2283E">
        <w:rPr>
          <w:lang/>
        </w:rPr>
        <w:t xml:space="preserve"> World J Gastroenterol. 10 (18):2740-3.</w:t>
      </w:r>
    </w:p>
    <w:p w:rsidR="008F03B5" w:rsidRPr="00E2283E" w:rsidRDefault="008F03B5" w:rsidP="00E2283E">
      <w:pPr>
        <w:shd w:val="clear" w:color="auto" w:fill="FFFFFF"/>
        <w:bidi w:val="0"/>
        <w:spacing w:before="240" w:after="0" w:line="360" w:lineRule="auto"/>
        <w:ind w:firstLine="425"/>
        <w:jc w:val="both"/>
        <w:outlineLvl w:val="0"/>
        <w:rPr>
          <w:rtl/>
        </w:rPr>
      </w:pPr>
    </w:p>
    <w:sectPr w:rsidR="008F03B5" w:rsidRPr="00E2283E" w:rsidSect="00E2283E">
      <w:headerReference w:type="default" r:id="rId58"/>
      <w:footerReference w:type="default" r:id="rId59"/>
      <w:pgSz w:w="11907" w:h="1683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3B5" w:rsidRDefault="008F03B5" w:rsidP="001424E3">
      <w:pPr>
        <w:spacing w:after="0" w:line="240" w:lineRule="auto"/>
      </w:pPr>
      <w:r>
        <w:separator/>
      </w:r>
    </w:p>
  </w:endnote>
  <w:endnote w:type="continuationSeparator" w:id="1">
    <w:p w:rsidR="008F03B5" w:rsidRDefault="008F03B5" w:rsidP="001424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Neue-Roman">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3B5" w:rsidRPr="00E2283E" w:rsidRDefault="008F03B5" w:rsidP="00E2283E">
    <w:pPr>
      <w:pStyle w:val="Foote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3B5" w:rsidRDefault="008F03B5" w:rsidP="001424E3">
      <w:pPr>
        <w:spacing w:after="0" w:line="240" w:lineRule="auto"/>
      </w:pPr>
      <w:r>
        <w:separator/>
      </w:r>
    </w:p>
  </w:footnote>
  <w:footnote w:type="continuationSeparator" w:id="1">
    <w:p w:rsidR="008F03B5" w:rsidRDefault="008F03B5" w:rsidP="001424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3B5" w:rsidRPr="00E2283E" w:rsidRDefault="008F03B5" w:rsidP="00E2283E">
    <w:pPr>
      <w:pStyle w:val="Header"/>
      <w:rPr>
        <w:rtl/>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717FE"/>
    <w:multiLevelType w:val="hybridMultilevel"/>
    <w:tmpl w:val="0C9E4AF2"/>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D266153"/>
    <w:multiLevelType w:val="hybridMultilevel"/>
    <w:tmpl w:val="A670A8E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2460EEA"/>
    <w:multiLevelType w:val="hybridMultilevel"/>
    <w:tmpl w:val="D5827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0AC066D"/>
    <w:multiLevelType w:val="hybridMultilevel"/>
    <w:tmpl w:val="47608C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F555775"/>
    <w:multiLevelType w:val="hybridMultilevel"/>
    <w:tmpl w:val="E2BE598E"/>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F9919E5"/>
    <w:multiLevelType w:val="hybridMultilevel"/>
    <w:tmpl w:val="24D66F38"/>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A4E6059"/>
    <w:multiLevelType w:val="hybridMultilevel"/>
    <w:tmpl w:val="013A7644"/>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C2147C2"/>
    <w:multiLevelType w:val="hybridMultilevel"/>
    <w:tmpl w:val="5C84898E"/>
    <w:lvl w:ilvl="0" w:tplc="0409000B">
      <w:start w:val="1"/>
      <w:numFmt w:val="bullet"/>
      <w:lvlText w:val=""/>
      <w:lvlJc w:val="left"/>
      <w:pPr>
        <w:tabs>
          <w:tab w:val="num" w:pos="502"/>
        </w:tabs>
        <w:ind w:left="502"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55ED3DEC"/>
    <w:multiLevelType w:val="hybridMultilevel"/>
    <w:tmpl w:val="A28A1E0E"/>
    <w:lvl w:ilvl="0" w:tplc="0409000B">
      <w:start w:val="1"/>
      <w:numFmt w:val="bullet"/>
      <w:lvlText w:val=""/>
      <w:lvlJc w:val="left"/>
      <w:pPr>
        <w:ind w:left="1069" w:hanging="360"/>
      </w:pPr>
      <w:rPr>
        <w:rFonts w:ascii="Wingdings" w:hAnsi="Wingdings" w:hint="default"/>
      </w:rPr>
    </w:lvl>
    <w:lvl w:ilvl="1" w:tplc="04090003">
      <w:start w:val="1"/>
      <w:numFmt w:val="bullet"/>
      <w:lvlText w:val="o"/>
      <w:lvlJc w:val="left"/>
      <w:pPr>
        <w:ind w:left="1789" w:hanging="360"/>
      </w:pPr>
      <w:rPr>
        <w:rFonts w:ascii="Courier New" w:hAnsi="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hint="default"/>
      </w:rPr>
    </w:lvl>
    <w:lvl w:ilvl="8" w:tplc="04090005">
      <w:start w:val="1"/>
      <w:numFmt w:val="bullet"/>
      <w:lvlText w:val=""/>
      <w:lvlJc w:val="left"/>
      <w:pPr>
        <w:ind w:left="6829" w:hanging="360"/>
      </w:pPr>
      <w:rPr>
        <w:rFonts w:ascii="Wingdings" w:hAnsi="Wingdings" w:hint="default"/>
      </w:rPr>
    </w:lvl>
  </w:abstractNum>
  <w:abstractNum w:abstractNumId="9">
    <w:nsid w:val="6F2A5D0F"/>
    <w:multiLevelType w:val="hybridMultilevel"/>
    <w:tmpl w:val="54E68B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4"/>
  </w:num>
  <w:num w:numId="4">
    <w:abstractNumId w:val="9"/>
  </w:num>
  <w:num w:numId="5">
    <w:abstractNumId w:val="6"/>
  </w:num>
  <w:num w:numId="6">
    <w:abstractNumId w:val="5"/>
  </w:num>
  <w:num w:numId="7">
    <w:abstractNumId w:val="0"/>
  </w:num>
  <w:num w:numId="8">
    <w:abstractNumId w:val="1"/>
  </w:num>
  <w:num w:numId="9">
    <w:abstractNumId w:val="8"/>
  </w:num>
  <w:num w:numId="1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6469"/>
    <w:rsid w:val="00024618"/>
    <w:rsid w:val="000264E7"/>
    <w:rsid w:val="00066102"/>
    <w:rsid w:val="000C0466"/>
    <w:rsid w:val="001424E3"/>
    <w:rsid w:val="001751C7"/>
    <w:rsid w:val="001839EC"/>
    <w:rsid w:val="001D318A"/>
    <w:rsid w:val="002303F6"/>
    <w:rsid w:val="00264A4A"/>
    <w:rsid w:val="00267090"/>
    <w:rsid w:val="00280A58"/>
    <w:rsid w:val="00292EA4"/>
    <w:rsid w:val="002C36C4"/>
    <w:rsid w:val="002E4849"/>
    <w:rsid w:val="00427C4D"/>
    <w:rsid w:val="00436B61"/>
    <w:rsid w:val="004371FA"/>
    <w:rsid w:val="004825CA"/>
    <w:rsid w:val="004A30D0"/>
    <w:rsid w:val="005C0708"/>
    <w:rsid w:val="005C76B9"/>
    <w:rsid w:val="005D76D5"/>
    <w:rsid w:val="005E26AD"/>
    <w:rsid w:val="005E421D"/>
    <w:rsid w:val="005F0E09"/>
    <w:rsid w:val="00666B6F"/>
    <w:rsid w:val="006F4CD6"/>
    <w:rsid w:val="00743BC2"/>
    <w:rsid w:val="00777E48"/>
    <w:rsid w:val="00786469"/>
    <w:rsid w:val="00791332"/>
    <w:rsid w:val="008100A6"/>
    <w:rsid w:val="00814348"/>
    <w:rsid w:val="008434D7"/>
    <w:rsid w:val="008E35B5"/>
    <w:rsid w:val="008F03B5"/>
    <w:rsid w:val="009404DA"/>
    <w:rsid w:val="009B0634"/>
    <w:rsid w:val="009F31E9"/>
    <w:rsid w:val="00A64702"/>
    <w:rsid w:val="00BA65A9"/>
    <w:rsid w:val="00BA7D0D"/>
    <w:rsid w:val="00C37540"/>
    <w:rsid w:val="00C55AA6"/>
    <w:rsid w:val="00C70915"/>
    <w:rsid w:val="00C86A59"/>
    <w:rsid w:val="00CB68F4"/>
    <w:rsid w:val="00D41653"/>
    <w:rsid w:val="00DA5875"/>
    <w:rsid w:val="00DC0073"/>
    <w:rsid w:val="00DC5402"/>
    <w:rsid w:val="00DD1974"/>
    <w:rsid w:val="00DE749A"/>
    <w:rsid w:val="00DF7399"/>
    <w:rsid w:val="00E2283E"/>
    <w:rsid w:val="00E464F3"/>
    <w:rsid w:val="00F0260F"/>
    <w:rsid w:val="00FB3D0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A58"/>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283E"/>
    <w:pPr>
      <w:tabs>
        <w:tab w:val="center" w:pos="4153"/>
        <w:tab w:val="right" w:pos="8306"/>
      </w:tabs>
    </w:pPr>
  </w:style>
  <w:style w:type="character" w:customStyle="1" w:styleId="HeaderChar">
    <w:name w:val="Header Char"/>
    <w:basedOn w:val="DefaultParagraphFont"/>
    <w:link w:val="Header"/>
    <w:uiPriority w:val="99"/>
    <w:semiHidden/>
    <w:rsid w:val="00FE1DCF"/>
  </w:style>
  <w:style w:type="table" w:styleId="TableGrid">
    <w:name w:val="Table Grid"/>
    <w:basedOn w:val="TableNormal"/>
    <w:uiPriority w:val="99"/>
    <w:rsid w:val="0078646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E2283E"/>
    <w:pPr>
      <w:tabs>
        <w:tab w:val="center" w:pos="4153"/>
        <w:tab w:val="right" w:pos="8306"/>
      </w:tabs>
    </w:pPr>
  </w:style>
  <w:style w:type="character" w:customStyle="1" w:styleId="FooterChar">
    <w:name w:val="Footer Char"/>
    <w:basedOn w:val="DefaultParagraphFont"/>
    <w:link w:val="Footer"/>
    <w:uiPriority w:val="99"/>
    <w:semiHidden/>
    <w:rsid w:val="00FE1D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Khoshnood%20A%5BAuthor%5D&amp;cauthor=true&amp;cauthor_uid=23599716" TargetMode="External"/><Relationship Id="rId18" Type="http://schemas.openxmlformats.org/officeDocument/2006/relationships/hyperlink" Target="http://www.ncbi.nlm.nih.gov/pubmed?term=Ronsoni%20MF%5BAuthor%5D&amp;cauthor=true&amp;cauthor_uid=23619263" TargetMode="External"/><Relationship Id="rId26" Type="http://schemas.openxmlformats.org/officeDocument/2006/relationships/hyperlink" Target="http://www.ncbi.nlm.nih.gov/pubmed?term=Unsal%20B%5BAuthor%5D&amp;cauthor=true&amp;cauthor_uid=18080921" TargetMode="External"/><Relationship Id="rId39" Type="http://schemas.openxmlformats.org/officeDocument/2006/relationships/hyperlink" Target="http://www.ncbi.nlm.nih.gov/pubmed?term=Boj%C3%B3rquez-Ramos%20MC%5BAuthor%5D&amp;cauthor=true&amp;cauthor_uid=18030212" TargetMode="External"/><Relationship Id="rId21" Type="http://schemas.openxmlformats.org/officeDocument/2006/relationships/hyperlink" Target="http://www.ncbi.nlm.nih.gov/pubmed?term=Colako%C4%9Flu%20O%5BAuthor%5D&amp;cauthor=true&amp;cauthor_uid=18080921" TargetMode="External"/><Relationship Id="rId34" Type="http://schemas.openxmlformats.org/officeDocument/2006/relationships/hyperlink" Target="http://www.ncbi.nlm.nih.gov/pubmed?term=Hurtado-L%C3%B3pez%20EF%5BAuthor%5D&amp;cauthor=true&amp;cauthor_uid=18030212" TargetMode="External"/><Relationship Id="rId42" Type="http://schemas.openxmlformats.org/officeDocument/2006/relationships/hyperlink" Target="http://www.ncbi.nlm.nih.gov/pubmed?term=Nasiri%20Toosi%20M%5BAuthor%5D&amp;cauthor=true&amp;cauthor_uid=23599716" TargetMode="External"/><Relationship Id="rId47" Type="http://schemas.openxmlformats.org/officeDocument/2006/relationships/hyperlink" Target="http://www.ncbi.nlm.nih.gov/pubmed/19931069?itool=EntrezSystem2.PEntrez.Pubmed.Pubmed_ResultsPanel.Pubmed_RVDocSum&amp;ordinalpos=1" TargetMode="External"/><Relationship Id="rId50" Type="http://schemas.openxmlformats.org/officeDocument/2006/relationships/hyperlink" Target="http://www.ncbi.nlm.nih.gov/pubmed/23148873" TargetMode="External"/><Relationship Id="rId55" Type="http://schemas.openxmlformats.org/officeDocument/2006/relationships/hyperlink" Target="http://www.ncbi.nlm.nih.gov/pubmed?term=Lasne%20Y%5BAuthor%5D&amp;cauthor=true&amp;cauthor_uid=3355205" TargetMode="External"/><Relationship Id="rId7" Type="http://schemas.openxmlformats.org/officeDocument/2006/relationships/hyperlink" Target="http://en.wikipedia.org/wiki/Liver" TargetMode="Externa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yperlink" Target="http://www.ncbi.nlm.nih.gov/pubmed/22682639" TargetMode="External"/><Relationship Id="rId29" Type="http://schemas.openxmlformats.org/officeDocument/2006/relationships/hyperlink" Target="http://www.ncbi.nlm.nih.gov/pubmed?term=Karamifar%20H%5BAuthor%5D&amp;cauthor=true&amp;cauthor_uid=22631062" TargetMode="External"/><Relationship Id="rId41" Type="http://schemas.openxmlformats.org/officeDocument/2006/relationships/hyperlink" Target="http://www.ncbi.nlm.nih.gov/pubmed?term=Khoshnood%20A%5BAuthor%5D&amp;cauthor=true&amp;cauthor_uid=23599716" TargetMode="External"/><Relationship Id="rId54" Type="http://schemas.openxmlformats.org/officeDocument/2006/relationships/hyperlink" Target="http://www.ncbi.nlm.nih.gov/pubmed/236192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Puche%20JE%5BAuthor%5D&amp;cauthor=true&amp;cauthor_uid=23148873" TargetMode="External"/><Relationship Id="rId24" Type="http://schemas.openxmlformats.org/officeDocument/2006/relationships/hyperlink" Target="http://www.ncbi.nlm.nih.gov/pubmed?term=Kizilda%C4%9F%20S%5BAuthor%5D&amp;cauthor=true&amp;cauthor_uid=18080921" TargetMode="External"/><Relationship Id="rId32" Type="http://schemas.openxmlformats.org/officeDocument/2006/relationships/hyperlink" Target="http://www.ncbi.nlm.nih.gov/pubmed?term=Malek-Hosseini%20SA%5BAuthor%5D&amp;cauthor=true&amp;cauthor_uid=22631062" TargetMode="External"/><Relationship Id="rId37" Type="http://schemas.openxmlformats.org/officeDocument/2006/relationships/hyperlink" Target="http://www.ncbi.nlm.nih.gov/pubmed?term=Mac%C3%ADas-Rosales%20R%5BAuthor%5D&amp;cauthor=true&amp;cauthor_uid=18030212" TargetMode="External"/><Relationship Id="rId40" Type="http://schemas.openxmlformats.org/officeDocument/2006/relationships/hyperlink" Target="http://www.ncbi.nlm.nih.gov/pubmed/18030212" TargetMode="External"/><Relationship Id="rId45" Type="http://schemas.openxmlformats.org/officeDocument/2006/relationships/hyperlink" Target="http://www.ncbi.nlm.nih.gov/pubmed?term=Livingstone%20C%5BAuthor%5D&amp;cauthor=true&amp;cauthor_uid=23721057" TargetMode="External"/><Relationship Id="rId53" Type="http://schemas.openxmlformats.org/officeDocument/2006/relationships/hyperlink" Target="http://www.ncbi.nlm.nih.gov/pubmed?term=Fayad%20L%5BAuthor%5D&amp;cauthor=true&amp;cauthor_uid=23619263"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hyperlink" Target="http://www.ncbi.nlm.nih.gov/pubmed?term=Colako%C4%9Flu%20G%5BAuthor%5D&amp;cauthor=true&amp;cauthor_uid=18080921" TargetMode="External"/><Relationship Id="rId28" Type="http://schemas.openxmlformats.org/officeDocument/2006/relationships/hyperlink" Target="http://www.ncbi.nlm.nih.gov/pubmed?term=Dehghani%20SM%5BAuthor%5D&amp;cauthor=true&amp;cauthor_uid=22631062" TargetMode="External"/><Relationship Id="rId36" Type="http://schemas.openxmlformats.org/officeDocument/2006/relationships/hyperlink" Target="http://www.ncbi.nlm.nih.gov/pubmed?term=V%C3%A1squez-Garibay%20EM%5BAuthor%5D&amp;cauthor=true&amp;cauthor_uid=18030212" TargetMode="External"/><Relationship Id="rId49" Type="http://schemas.openxmlformats.org/officeDocument/2006/relationships/hyperlink" Target="http://www.ncbi.nlm.nih.gov/pubmed?term=Castilla-Cort%C3%A1zar%20I%5BAuthor%5D&amp;cauthor=true&amp;cauthor_uid=23148873" TargetMode="External"/><Relationship Id="rId57" Type="http://schemas.openxmlformats.org/officeDocument/2006/relationships/hyperlink" Target="http://www.ncbi.nlm.nih.gov/pubmed/15309731" TargetMode="External"/><Relationship Id="rId61" Type="http://schemas.openxmlformats.org/officeDocument/2006/relationships/theme" Target="theme/theme1.xml"/><Relationship Id="rId10" Type="http://schemas.openxmlformats.org/officeDocument/2006/relationships/hyperlink" Target="http://en.wikipedia.org/wiki/Cirrhosis" TargetMode="External"/><Relationship Id="rId19" Type="http://schemas.openxmlformats.org/officeDocument/2006/relationships/hyperlink" Target="http://www.ncbi.nlm.nih.gov/pubmed/21733081" TargetMode="External"/><Relationship Id="rId31" Type="http://schemas.openxmlformats.org/officeDocument/2006/relationships/hyperlink" Target="http://www.ncbi.nlm.nih.gov/pubmed?term=Haghighat%20M%5BAuthor%5D&amp;cauthor=true&amp;cauthor_uid=22631062" TargetMode="External"/><Relationship Id="rId44" Type="http://schemas.openxmlformats.org/officeDocument/2006/relationships/hyperlink" Target="http://www.ncbi.nlm.nih.gov/pubmed/23599716" TargetMode="External"/><Relationship Id="rId52" Type="http://schemas.openxmlformats.org/officeDocument/2006/relationships/hyperlink" Target="http://www.ncbi.nlm.nih.gov/pubmed?term=Lazzarotto%20C%5BAuthor%5D&amp;cauthor=true&amp;cauthor_uid=23619263"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Fibrosis" TargetMode="External"/><Relationship Id="rId14" Type="http://schemas.openxmlformats.org/officeDocument/2006/relationships/hyperlink" Target="http://www.ncbi.nlm.nih.gov/pubmed?term=Ronsoni%20MF%5BAuthor%5D&amp;cauthor=true&amp;cauthor_uid=23619263" TargetMode="External"/><Relationship Id="rId22" Type="http://schemas.openxmlformats.org/officeDocument/2006/relationships/hyperlink" Target="http://www.ncbi.nlm.nih.gov/pubmed?term=Ta%C5%9Fkiran%20B%5BAuthor%5D&amp;cauthor=true&amp;cauthor_uid=18080921" TargetMode="External"/><Relationship Id="rId27" Type="http://schemas.openxmlformats.org/officeDocument/2006/relationships/hyperlink" Target="http://www.ncbi.nlm.nih.gov/pubmed/18080921" TargetMode="External"/><Relationship Id="rId30" Type="http://schemas.openxmlformats.org/officeDocument/2006/relationships/hyperlink" Target="http://www.ncbi.nlm.nih.gov/pubmed?term=Hamzavi%20SS%5BAuthor%5D&amp;cauthor=true&amp;cauthor_uid=22631062" TargetMode="External"/><Relationship Id="rId35" Type="http://schemas.openxmlformats.org/officeDocument/2006/relationships/hyperlink" Target="http://www.ncbi.nlm.nih.gov/pubmed?term=Larrosa-Haro%20A%5BAuthor%5D&amp;cauthor=true&amp;cauthor_uid=18030212" TargetMode="External"/><Relationship Id="rId43" Type="http://schemas.openxmlformats.org/officeDocument/2006/relationships/hyperlink" Target="http://www.ncbi.nlm.nih.gov/pubmed?term=Faravash%20MJ%5BAuthor%5D&amp;cauthor=true&amp;cauthor_uid=23599716" TargetMode="External"/><Relationship Id="rId48" Type="http://schemas.openxmlformats.org/officeDocument/2006/relationships/hyperlink" Target="http://www.ncbi.nlm.nih.gov/pubmed?term=Puche%20JE%5BAuthor%5D&amp;cauthor=true&amp;cauthor_uid=23148873" TargetMode="External"/><Relationship Id="rId56" Type="http://schemas.openxmlformats.org/officeDocument/2006/relationships/hyperlink" Target="http://www.ncbi.nlm.nih.gov/pubmed?term=Bethenod%20M%5BAuthor%5D&amp;cauthor=true&amp;cauthor_uid=3355205" TargetMode="External"/><Relationship Id="rId8" Type="http://schemas.openxmlformats.org/officeDocument/2006/relationships/hyperlink" Target="http://en.wikipedia.org/wiki/Parenchyma" TargetMode="External"/><Relationship Id="rId51" Type="http://schemas.openxmlformats.org/officeDocument/2006/relationships/hyperlink" Target="http://www.ncbi.nlm.nih.gov/pubmed?term=Ronsoni%20MF%5BAuthor%5D&amp;cauthor=true&amp;cauthor_uid=23619263" TargetMode="External"/><Relationship Id="rId3" Type="http://schemas.openxmlformats.org/officeDocument/2006/relationships/settings" Target="settings.xml"/><Relationship Id="rId12" Type="http://schemas.openxmlformats.org/officeDocument/2006/relationships/hyperlink" Target="http://www.ncbi.nlm.nih.gov/pubmed?term=Castilla-Cort%C3%A1zar%20I%5BAuthor%5D&amp;cauthor=true&amp;cauthor_uid=23148873" TargetMode="External"/><Relationship Id="rId17" Type="http://schemas.openxmlformats.org/officeDocument/2006/relationships/hyperlink" Target="http://www.ncbi.nlm.nih.gov/pubmed?term=Khoshnood%20A%5BAuthor%5D&amp;cauthor=true&amp;cauthor_uid=23599716" TargetMode="External"/><Relationship Id="rId25" Type="http://schemas.openxmlformats.org/officeDocument/2006/relationships/hyperlink" Target="http://www.ncbi.nlm.nih.gov/pubmed?term=Ari%20Ozcan%20F%5BAuthor%5D&amp;cauthor=true&amp;cauthor_uid=18080921" TargetMode="External"/><Relationship Id="rId33" Type="http://schemas.openxmlformats.org/officeDocument/2006/relationships/hyperlink" Target="http://www.ncbi.nlm.nih.gov/pubmed/22631062" TargetMode="External"/><Relationship Id="rId38" Type="http://schemas.openxmlformats.org/officeDocument/2006/relationships/hyperlink" Target="http://www.ncbi.nlm.nih.gov/pubmed?term=Troyo-Sanrom%C3%A1n%20R%5BAuthor%5D&amp;cauthor=true&amp;cauthor_uid=18030212" TargetMode="External"/><Relationship Id="rId46" Type="http://schemas.openxmlformats.org/officeDocument/2006/relationships/hyperlink" Target="http://www.ncbi.nlm.nih.gov/pubmed/23721057"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14</Pages>
  <Words>4769</Words>
  <Characters>27188</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Serum level of insulin like growth factor-1 in children with chronic liver disease‎</dc:title>
  <dc:subject/>
  <dc:creator>hany</dc:creator>
  <cp:keywords/>
  <dc:description/>
  <cp:lastModifiedBy>mdht</cp:lastModifiedBy>
  <cp:revision>2</cp:revision>
  <dcterms:created xsi:type="dcterms:W3CDTF">2013-11-13T09:43:00Z</dcterms:created>
  <dcterms:modified xsi:type="dcterms:W3CDTF">2013-11-13T09:43:00Z</dcterms:modified>
</cp:coreProperties>
</file>