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889" w:rsidRPr="00C363ED" w:rsidRDefault="009A5889" w:rsidP="0026477D">
      <w:pPr>
        <w:spacing w:after="0" w:line="360" w:lineRule="auto"/>
        <w:ind w:firstLine="425"/>
        <w:jc w:val="both"/>
      </w:pPr>
      <w:r w:rsidRPr="00C363ED">
        <w:t>Effect of Zinc Supplementation on Linear Growth and Bone Mineral Density in Prepubertal Children with β -Thalassemia Major</w:t>
      </w:r>
    </w:p>
    <w:p w:rsidR="009A5889" w:rsidRPr="00C363ED" w:rsidRDefault="009A5889" w:rsidP="0026477D">
      <w:pPr>
        <w:spacing w:after="0" w:line="360" w:lineRule="auto"/>
        <w:ind w:firstLine="425"/>
        <w:jc w:val="both"/>
      </w:pPr>
      <w:r w:rsidRPr="00C363ED">
        <w:t>Galila M. Mokhtar²,Hayam K. Nazif¹,Afaf A. Abdel Ghafar³ ,Randa M. Mattar²,Nadia M.Elkomy</w:t>
      </w:r>
    </w:p>
    <w:p w:rsidR="009A5889" w:rsidRPr="00C363ED" w:rsidRDefault="009A5889" w:rsidP="0026477D">
      <w:pPr>
        <w:spacing w:after="0" w:line="360" w:lineRule="auto"/>
        <w:ind w:firstLine="425"/>
        <w:jc w:val="both"/>
      </w:pPr>
      <w:r w:rsidRPr="00C363ED">
        <w:t>¹Institute of Postgraduate ChilhoodStudies,Ain Shams University,</w:t>
      </w:r>
      <w:r>
        <w:t xml:space="preserve"> </w:t>
      </w:r>
      <w:r w:rsidRPr="00C363ED">
        <w:t>Cairo,</w:t>
      </w:r>
      <w:r>
        <w:t xml:space="preserve"> </w:t>
      </w:r>
      <w:r w:rsidRPr="00C363ED">
        <w:t>Egypt</w:t>
      </w:r>
    </w:p>
    <w:p w:rsidR="009A5889" w:rsidRPr="00C363ED" w:rsidRDefault="009A5889" w:rsidP="0026477D">
      <w:pPr>
        <w:spacing w:after="0" w:line="360" w:lineRule="auto"/>
        <w:ind w:firstLine="425"/>
        <w:jc w:val="both"/>
      </w:pPr>
      <w:r w:rsidRPr="00C363ED">
        <w:t>²Department of Pediatrics, Ain Shams University,Cairo,Egypt</w:t>
      </w:r>
    </w:p>
    <w:p w:rsidR="009A5889" w:rsidRPr="00C363ED" w:rsidRDefault="009A5889" w:rsidP="0026477D">
      <w:pPr>
        <w:spacing w:after="0" w:line="360" w:lineRule="auto"/>
        <w:ind w:firstLine="425"/>
        <w:jc w:val="both"/>
      </w:pPr>
      <w:r w:rsidRPr="00C363ED">
        <w:t>³Department of Clinical Pathology, Ain Shams University,Cairo,Egypt</w:t>
      </w:r>
    </w:p>
    <w:p w:rsidR="009A5889" w:rsidRPr="00C363ED" w:rsidRDefault="009A5889" w:rsidP="0026477D">
      <w:pPr>
        <w:spacing w:after="0" w:line="360" w:lineRule="auto"/>
        <w:ind w:firstLine="425"/>
        <w:jc w:val="both"/>
      </w:pPr>
      <w:r w:rsidRPr="00C363ED">
        <w:t>Abstract</w:t>
      </w:r>
    </w:p>
    <w:p w:rsidR="009A5889" w:rsidRPr="00C363ED" w:rsidRDefault="009A5889" w:rsidP="0026477D">
      <w:pPr>
        <w:spacing w:after="0" w:line="360" w:lineRule="auto"/>
        <w:ind w:firstLine="425"/>
        <w:jc w:val="both"/>
      </w:pPr>
      <w:r w:rsidRPr="00C363ED">
        <w:t>Background:Linear growth and bone mineral density are commonly affected in thalassemic children and the aetiology is usually multifactorial.</w:t>
      </w:r>
    </w:p>
    <w:p w:rsidR="009A5889" w:rsidRPr="00C363ED" w:rsidRDefault="009A5889" w:rsidP="0026477D">
      <w:pPr>
        <w:spacing w:after="0" w:line="360" w:lineRule="auto"/>
        <w:ind w:firstLine="425"/>
        <w:jc w:val="both"/>
      </w:pPr>
      <w:r w:rsidRPr="00C363ED">
        <w:t>Objective:  To study the effect of zinc supplementation on linear growth and bone mineral density in prepubertal children with beta- thalassemia major.</w:t>
      </w:r>
    </w:p>
    <w:p w:rsidR="009A5889" w:rsidRPr="00C363ED" w:rsidRDefault="009A5889" w:rsidP="0026477D">
      <w:pPr>
        <w:spacing w:after="0" w:line="360" w:lineRule="auto"/>
        <w:ind w:firstLine="425"/>
        <w:jc w:val="both"/>
      </w:pPr>
      <w:r w:rsidRPr="00C363ED">
        <w:t>Methodology:This is an intervention study at hematology clinic,Ain –Shams university,started at Aptil 2012. until April 2014. Forty prepubertal osteoporotic thalassemic children Ninteen males and twenty one females ,were supplemented with oral zinc sulfate capsule,once daily for 12 months consecutively . Height percentile (plotted on DEMPU curves), serum zinc level and BMD Z- score (measured by DEXA) were measured both before and after zinc intake.</w:t>
      </w:r>
    </w:p>
    <w:p w:rsidR="009A5889" w:rsidRPr="00C363ED" w:rsidRDefault="009A5889" w:rsidP="0026477D">
      <w:pPr>
        <w:spacing w:after="0" w:line="360" w:lineRule="auto"/>
        <w:ind w:firstLine="425"/>
        <w:jc w:val="both"/>
      </w:pPr>
      <w:r w:rsidRPr="00C363ED">
        <w:t>Results:There was statistically significant improvement when height percentile,serum  zinc level andBMD Z-score were measured before and after zinc supplementation (P value &lt; 0.001). There was no statistically significant difference between males and females when all these parameters were measured either before or after zinc supplementation (P value &gt; 0.05).</w:t>
      </w:r>
    </w:p>
    <w:p w:rsidR="009A5889" w:rsidRPr="00C363ED" w:rsidRDefault="009A5889" w:rsidP="0026477D">
      <w:pPr>
        <w:spacing w:after="0" w:line="360" w:lineRule="auto"/>
        <w:ind w:firstLine="425"/>
        <w:jc w:val="both"/>
      </w:pPr>
      <w:r w:rsidRPr="00C363ED">
        <w:t>Conclusion:   Zinc supplementation had a positive impact on linear growth and BMD in prepubertal children with beta- thalassemia major and this effect couldhave been magnified if zinc was provided at an earlier age and for a longer time.</w:t>
      </w:r>
    </w:p>
    <w:p w:rsidR="009A5889" w:rsidRPr="00C363ED" w:rsidRDefault="009A5889" w:rsidP="0026477D">
      <w:pPr>
        <w:spacing w:after="0" w:line="360" w:lineRule="auto"/>
        <w:ind w:firstLine="425"/>
        <w:jc w:val="both"/>
      </w:pPr>
      <w:r w:rsidRPr="00C363ED">
        <w:t>Key words: zinc supplementation –linear growth –prepubertal children –beta thalassemia major</w:t>
      </w:r>
    </w:p>
    <w:p w:rsidR="009A5889" w:rsidRPr="00C363ED" w:rsidRDefault="009A5889" w:rsidP="00C363ED">
      <w:pPr>
        <w:pStyle w:val="paragraph"/>
        <w:bidi/>
        <w:spacing w:before="0" w:beforeAutospacing="0" w:after="0" w:afterAutospacing="0" w:line="360" w:lineRule="auto"/>
        <w:ind w:firstLine="425"/>
        <w:jc w:val="both"/>
        <w:textAlignment w:val="baseline"/>
      </w:pPr>
      <w:r>
        <w:rPr>
          <w:rtl/>
          <w:lang w:bidi="ar-EG"/>
        </w:rPr>
        <w:t>أثر أعطاء الزنك على الكثافة المعدنية للعظام والنمو الخطى فى سن ما قبل البلوغ للاطفال المصابين انيميه البحر المتوسط</w:t>
      </w:r>
      <w:r w:rsidRPr="00C363ED">
        <w:rPr>
          <w:rtl/>
        </w:rPr>
        <w:t> </w:t>
      </w:r>
    </w:p>
    <w:p w:rsidR="009A5889" w:rsidRPr="00C363ED" w:rsidRDefault="009A5889" w:rsidP="00C363ED">
      <w:pPr>
        <w:pStyle w:val="paragraph"/>
        <w:bidi/>
        <w:spacing w:before="0" w:beforeAutospacing="0" w:after="0" w:afterAutospacing="0" w:line="360" w:lineRule="auto"/>
        <w:ind w:firstLine="425"/>
        <w:jc w:val="both"/>
        <w:textAlignment w:val="baseline"/>
        <w:rPr>
          <w:rtl/>
        </w:rPr>
      </w:pPr>
      <w:r w:rsidRPr="00C363ED">
        <w:rPr>
          <w:rtl/>
        </w:rPr>
        <w:t>تعد مشكلة نقص النمو الطولي و نقص كثافة أملاح العظام وما يتبعه من حدوث هشاشة بالعظام من المشكلات الشائعة في الاطفال اللذين يعانون من انيميا البحر المتوسط، خاصة قبل سن البلوغ، وهذا بدوره يؤدي الى ضعف العظام و زيادة قابليتها للكسور مما قد يتعارض مع الامشطة اليومية لهؤلاء الاطفال. </w:t>
      </w:r>
    </w:p>
    <w:p w:rsidR="009A5889" w:rsidRPr="00C363ED" w:rsidRDefault="009A5889" w:rsidP="00C363ED">
      <w:pPr>
        <w:pStyle w:val="paragraph"/>
        <w:bidi/>
        <w:spacing w:before="0" w:beforeAutospacing="0" w:after="0" w:afterAutospacing="0" w:line="360" w:lineRule="auto"/>
        <w:ind w:firstLine="425"/>
        <w:jc w:val="both"/>
        <w:textAlignment w:val="baseline"/>
        <w:rPr>
          <w:rtl/>
        </w:rPr>
      </w:pPr>
      <w:r w:rsidRPr="00C363ED">
        <w:rPr>
          <w:rtl/>
        </w:rPr>
        <w:t>و تهدف هذه الدراسة الى تقييم نتائج اعطاء عنصر الزنك لهؤلاء الاطفال الذين تم اختيارهم من المترددين على عيادة امراض الدم بقسم الاطفال بمستشفيات جامعة عين شمس على النمو الطولي لهم و على كثافة املاح العظام. </w:t>
      </w:r>
    </w:p>
    <w:p w:rsidR="009A5889" w:rsidRPr="00C363ED" w:rsidRDefault="009A5889" w:rsidP="00C363ED">
      <w:pPr>
        <w:pStyle w:val="paragraph"/>
        <w:bidi/>
        <w:spacing w:before="0" w:beforeAutospacing="0" w:after="0" w:afterAutospacing="0" w:line="360" w:lineRule="auto"/>
        <w:ind w:firstLine="425"/>
        <w:jc w:val="both"/>
        <w:textAlignment w:val="baseline"/>
        <w:rPr>
          <w:rtl/>
        </w:rPr>
      </w:pPr>
      <w:r w:rsidRPr="00C363ED">
        <w:rPr>
          <w:rtl/>
        </w:rPr>
        <w:t>وقد تم ذلك باعطاء كل طفل 25 جم زنك يوميا بالفم لمدة 12 شهر متواصلة ثم بعد ذلك تم قياس الطول ووضعه على منحنى الطول الخاص بالاطفال المصريين، كما تم قياس معامل (</w:t>
      </w:r>
      <w:r w:rsidRPr="00C363ED">
        <w:t>Z</w:t>
      </w:r>
      <w:r w:rsidRPr="00C363ED">
        <w:rPr>
          <w:rtl/>
        </w:rPr>
        <w:t>) كمؤشر للتغيير في كثافة املاح العظام. </w:t>
      </w:r>
    </w:p>
    <w:p w:rsidR="009A5889" w:rsidRPr="00C363ED" w:rsidRDefault="009A5889" w:rsidP="00C363ED">
      <w:pPr>
        <w:pStyle w:val="paragraph"/>
        <w:bidi/>
        <w:spacing w:before="0" w:beforeAutospacing="0" w:after="0" w:afterAutospacing="0" w:line="360" w:lineRule="auto"/>
        <w:ind w:firstLine="425"/>
        <w:jc w:val="both"/>
        <w:textAlignment w:val="baseline"/>
        <w:rPr>
          <w:rtl/>
        </w:rPr>
      </w:pPr>
      <w:r w:rsidRPr="00C363ED">
        <w:rPr>
          <w:rtl/>
        </w:rPr>
        <w:t>وقد أظهرت النتائج ان اعطاء الزنك له تأثير ايجابي على زيادة النمو الطولي و زيادة كثافة املاح العظام في هؤلاء الاطفال و أن  هناك اختلافا احصائيا واضحا بين الطول و كثافة املاح العظام قبل و بعد اعطاء الزنك.و أظهرت الدراسة و النتائج انه لم يكن هناك اختلافات احصائية واضحة بين الذكور و الاناث فيما يتعلق بالزيادة في النمو الطولي او في مقدار كثافة املاح العظام.كما أوصت الدراسة بأنه يتم تتبع النمو الطولي و كثافة املاح العظام في الاطفال المصابين بانيميا البحر المتوسط وان يتم اعطاء هؤلاء الاطفال عنصر الزنك في صورة دواء. </w:t>
      </w:r>
    </w:p>
    <w:p w:rsidR="009A5889" w:rsidRPr="00C363ED" w:rsidRDefault="009A5889" w:rsidP="00C363ED">
      <w:pPr>
        <w:pStyle w:val="paragraph"/>
        <w:bidi/>
        <w:spacing w:before="0" w:beforeAutospacing="0" w:after="0" w:afterAutospacing="0" w:line="360" w:lineRule="auto"/>
        <w:ind w:firstLine="425"/>
        <w:jc w:val="both"/>
        <w:textAlignment w:val="baseline"/>
        <w:rPr>
          <w:rtl/>
        </w:rPr>
      </w:pPr>
      <w:r w:rsidRPr="00C363ED">
        <w:rPr>
          <w:rtl/>
        </w:rPr>
        <w:t>الكلمات الكاشفه:زنك - انيميا البحر المتوسط - عمر ما قبل البلوغ - النمو الطولي - هشاشه العظام </w:t>
      </w:r>
    </w:p>
    <w:p w:rsidR="009A5889" w:rsidRPr="00C363ED" w:rsidRDefault="009A5889" w:rsidP="0026477D">
      <w:pPr>
        <w:spacing w:after="0" w:line="360" w:lineRule="auto"/>
        <w:ind w:firstLine="425"/>
        <w:jc w:val="both"/>
      </w:pPr>
      <w:r w:rsidRPr="00C363ED">
        <w:t>Introduction</w:t>
      </w:r>
    </w:p>
    <w:p w:rsidR="009A5889" w:rsidRPr="00C363ED" w:rsidRDefault="009A5889" w:rsidP="0026477D">
      <w:pPr>
        <w:spacing w:after="0" w:line="360" w:lineRule="auto"/>
        <w:ind w:firstLine="425"/>
        <w:jc w:val="both"/>
      </w:pPr>
      <w:r w:rsidRPr="00C363ED">
        <w:t xml:space="preserve">Thalassemia ismonogenetic, hereditary hematologic disorders, inherited as an </w:t>
      </w:r>
      <w:hyperlink r:id="rId7" w:tooltip="Autosomal recessive" w:history="1">
        <w:r w:rsidRPr="00C363ED">
          <w:t>autosomal recessive</w:t>
        </w:r>
      </w:hyperlink>
      <w:r w:rsidRPr="00C363ED">
        <w:t> </w:t>
      </w:r>
      <w:hyperlink r:id="rId8" w:tooltip="Blood disorders" w:history="1">
        <w:r w:rsidRPr="00C363ED">
          <w:t>blood disorder</w:t>
        </w:r>
      </w:hyperlink>
      <w:r w:rsidRPr="00C363ED">
        <w:t xml:space="preserve">, characterized by abnormal formation of </w:t>
      </w:r>
      <w:hyperlink r:id="rId9" w:tooltip="Hemoglobin" w:history="1">
        <w:r w:rsidRPr="00C363ED">
          <w:t>hemoglobin</w:t>
        </w:r>
      </w:hyperlink>
      <w:r w:rsidRPr="00C363ED">
        <w:t>and presenting as </w:t>
      </w:r>
      <w:hyperlink r:id="rId10" w:tooltip="Microcytic anemia" w:history="1">
        <w:r w:rsidRPr="00C363ED">
          <w:t>microcytic anemia</w:t>
        </w:r>
      </w:hyperlink>
      <w:r w:rsidRPr="00C363ED">
        <w:t xml:space="preserve">[1].Thalassemic patients have unbalanced globin chain synthesis with ineffective erythropoiesis and increased peripheral hemolysis [2].Expansion of bone marrow cavity, decreased cortical and trabecular bone tissues and osteoporosis are commonly seen in these patients[3]. Symptoms include </w:t>
      </w:r>
      <w:hyperlink r:id="rId11" w:history="1">
        <w:r w:rsidRPr="00C363ED">
          <w:t>fatigue</w:t>
        </w:r>
      </w:hyperlink>
      <w:r w:rsidRPr="00C363ED">
        <w:t xml:space="preserve">, </w:t>
      </w:r>
      <w:hyperlink r:id="rId12" w:history="1">
        <w:r w:rsidRPr="00C363ED">
          <w:t>shortness of breath</w:t>
        </w:r>
      </w:hyperlink>
      <w:r w:rsidRPr="00C363ED">
        <w:t>, bone deformities in the face, growth failure and yellow skin [4].Signs are usually linked to</w:t>
      </w:r>
      <w:hyperlink r:id="rId13" w:tooltip="Iron overload" w:history="1">
        <w:r w:rsidRPr="00C363ED">
          <w:t>iron overload</w:t>
        </w:r>
      </w:hyperlink>
      <w:r w:rsidRPr="00C363ED">
        <w:t xml:space="preserve">, infection, bone deformities, </w:t>
      </w:r>
      <w:hyperlink r:id="rId14" w:tooltip="Splenomegaly" w:history="1">
        <w:r w:rsidRPr="00C363ED">
          <w:t>enlarged spleen</w:t>
        </w:r>
      </w:hyperlink>
      <w:r w:rsidRPr="00C363ED">
        <w:t>, slowed growth rates, andheart problems [5].</w:t>
      </w:r>
    </w:p>
    <w:p w:rsidR="009A5889" w:rsidRPr="00C363ED" w:rsidRDefault="009A5889" w:rsidP="0026477D">
      <w:pPr>
        <w:spacing w:after="0" w:line="360" w:lineRule="auto"/>
        <w:ind w:firstLine="425"/>
        <w:jc w:val="both"/>
      </w:pPr>
      <w:r w:rsidRPr="00C363ED">
        <w:t>Pathogenesis of osteoporosis in thalassemic patients is multi-factorial.Bone marrow expansion due to ineffective erythropoiesis results in reduction of trabecular bone tissue[6].Iron deposition directly in the bone impairs osteoid maturation and inhibits mineralization.Use of iron chelators as desferrioxaminecan lead to lower serum calcium, magnesium and higher phosphorusand parathyroid hormone level levels[7].Endocrine dysfunction consisting mainly of hypogonadism in addition to hypothyroidism, hypoparathyroidism can impair osteogenesis[8].Reduced physical activity as a result of the disease complications and parental over-protectiveness can worsen the condition[9].Growth failure is usually noticed in thalassemics[10]. It could be attributed tochronic anemia, transfusion-related iron overload, and chelation toxicity.Other contributing factors include hypothyroidism, hypogonadism, growth hormone deficiency/insufficiency,  chronic liver disease, undernutrition, and psychosocial stress [11]. Malnutrition, inadequate nutrient intake (zinc, folic acid, vitamin D, carotenoids, and retinol binding proteins)may play a role in growth retardation in these children[12].</w:t>
      </w:r>
    </w:p>
    <w:p w:rsidR="009A5889" w:rsidRPr="00C363ED" w:rsidRDefault="009A5889" w:rsidP="0026477D">
      <w:pPr>
        <w:spacing w:after="0" w:line="360" w:lineRule="auto"/>
        <w:ind w:firstLine="425"/>
        <w:jc w:val="both"/>
      </w:pPr>
      <w:r w:rsidRPr="00C363ED">
        <w:t>Bone mineral density(BMD) is defined clinically as the amount of bone minerals- mostly calcium and phosphorus-expressed in grams in a given area of bone, expressed in square centimeters[13].BMD is measured by Dual-energy X-ray absorptiometry (DEXA) which is considered to be the most standardized form and widely used technique due to its ease of use, precision, accessibility and low cost, in comparison to other modalities of BMD measurement. DEXA can measure as little as 2% of bone loss per year. It is fast and uses very low doses of </w:t>
      </w:r>
      <w:hyperlink r:id="rId15" w:history="1">
        <w:r w:rsidRPr="00C363ED">
          <w:t>radiation</w:t>
        </w:r>
      </w:hyperlink>
      <w:r w:rsidRPr="00C363ED">
        <w:t>[14].</w:t>
      </w:r>
    </w:p>
    <w:p w:rsidR="009A5889" w:rsidRPr="00C363ED" w:rsidRDefault="009A5889" w:rsidP="0026477D">
      <w:pPr>
        <w:spacing w:after="0" w:line="360" w:lineRule="auto"/>
        <w:ind w:firstLine="425"/>
        <w:jc w:val="both"/>
      </w:pPr>
      <w:r w:rsidRPr="00C363ED">
        <w:t>Densitometry reporting is done either by using T-score in which BMD is compared to the average score of a healthy 30-year-old person, or Z-score in which BMD value is compared to thata healthy personof the same age, </w:t>
      </w:r>
      <w:hyperlink r:id="rId16" w:history="1">
        <w:r w:rsidRPr="00C363ED">
          <w:t>sex</w:t>
        </w:r>
      </w:hyperlink>
      <w:r w:rsidRPr="00C363ED">
        <w:t>, and race as the examined person [15].</w:t>
      </w:r>
    </w:p>
    <w:p w:rsidR="009A5889" w:rsidRPr="00C363ED" w:rsidRDefault="009A5889" w:rsidP="0026477D">
      <w:pPr>
        <w:spacing w:after="0" w:line="360" w:lineRule="auto"/>
        <w:ind w:firstLine="425"/>
        <w:jc w:val="both"/>
      </w:pPr>
      <w:r w:rsidRPr="00C363ED">
        <w:t>Zinc is trace element and a micronutrient of outstanding and diverse biological and clinical importance .Zinc ions have catalytic, structural, and regulator functions[16].Zinc is an essential trace element to the structure and function of bone and its metabolism [17].Itis an essential for all the steps of osteogenesis,including the production of the extracellular organic matrix  (osteoid),the mineralization of the matrix to form bone; and bone remodeling by resorption and deposition. [18].Accordingly, zinc supply can have a positive impact on both bone mineral density and linear growth [19].</w:t>
      </w:r>
    </w:p>
    <w:p w:rsidR="009A5889" w:rsidRPr="00C363ED" w:rsidRDefault="009A5889" w:rsidP="0026477D">
      <w:pPr>
        <w:spacing w:after="0" w:line="360" w:lineRule="auto"/>
        <w:ind w:firstLine="425"/>
        <w:jc w:val="both"/>
      </w:pPr>
      <w:r w:rsidRPr="00C363ED">
        <w:t>Aim of the study:To study the effect of zinc supplementation on linear growth and bone mineral density in prepubertal children with beta- thalassemia major.</w:t>
      </w:r>
    </w:p>
    <w:p w:rsidR="009A5889" w:rsidRPr="00C363ED" w:rsidRDefault="009A5889" w:rsidP="0026477D">
      <w:pPr>
        <w:spacing w:after="0" w:line="360" w:lineRule="auto"/>
        <w:ind w:firstLine="425"/>
        <w:jc w:val="both"/>
      </w:pPr>
      <w:r w:rsidRPr="00C363ED">
        <w:t>Subjects and methods</w:t>
      </w:r>
    </w:p>
    <w:p w:rsidR="009A5889" w:rsidRPr="00C363ED" w:rsidRDefault="009A5889" w:rsidP="0026477D">
      <w:pPr>
        <w:spacing w:after="0" w:line="360" w:lineRule="auto"/>
        <w:ind w:firstLine="425"/>
        <w:jc w:val="both"/>
      </w:pPr>
      <w:r w:rsidRPr="00C363ED">
        <w:t>Study population</w:t>
      </w:r>
    </w:p>
    <w:p w:rsidR="009A5889" w:rsidRPr="00C363ED" w:rsidRDefault="009A5889" w:rsidP="0026477D">
      <w:pPr>
        <w:spacing w:after="0" w:line="360" w:lineRule="auto"/>
        <w:ind w:firstLine="425"/>
        <w:jc w:val="both"/>
      </w:pPr>
      <w:r w:rsidRPr="00C363ED">
        <w:t>This intervention study was conducted on forty prepubertalthalassemic children with beta-thalassemia major,19 males (47.5%) and 21 females (52.5%).Their age ranged from 6.2-to 10.8 years (mean age 8.99 ± 1.32 years). Children were recruited from the regular attendants of Hematology clinic, Department of Pediatrics, Children hospital, Ain Shams University and work was completed in Institute of Postgraduate Childhood Studies, Ain Shams University.The study started at April 2012 and continued until April 2014.All selected children fulfilled the following inclusion criteria:age between 6 and 10 years,diagnostic criteria of β- thalassemia major,history ofrepeated blood transfusion and receiving chelating therapy,osteoporosis as shown by DEXA (Z-score&lt;-2.5) ,normal serum calcium and no bisphosphonates therapy.</w:t>
      </w:r>
    </w:p>
    <w:p w:rsidR="009A5889" w:rsidRPr="00C363ED" w:rsidRDefault="009A5889" w:rsidP="0026477D">
      <w:pPr>
        <w:spacing w:after="0" w:line="360" w:lineRule="auto"/>
        <w:ind w:firstLine="425"/>
        <w:jc w:val="both"/>
      </w:pPr>
      <w:r w:rsidRPr="00C363ED">
        <w:t>An informed consent was obtained from parents after full explanation of the aim of the study and nature of the work.Also approval of the ethics committee of the university was taken.</w:t>
      </w:r>
    </w:p>
    <w:p w:rsidR="009A5889" w:rsidRPr="00C363ED" w:rsidRDefault="009A5889" w:rsidP="0026477D">
      <w:pPr>
        <w:spacing w:after="0" w:line="360" w:lineRule="auto"/>
        <w:ind w:firstLine="425"/>
        <w:jc w:val="both"/>
      </w:pPr>
      <w:r w:rsidRPr="00C363ED">
        <w:t>Methods</w:t>
      </w:r>
    </w:p>
    <w:p w:rsidR="009A5889" w:rsidRPr="00C363ED" w:rsidRDefault="009A5889" w:rsidP="0026477D">
      <w:pPr>
        <w:spacing w:after="0" w:line="360" w:lineRule="auto"/>
        <w:ind w:firstLine="425"/>
        <w:jc w:val="both"/>
      </w:pPr>
      <w:r w:rsidRPr="00C363ED">
        <w:t>All children were subjected to full history taking, full comprehensive medical examination and pubertal developmentasssessment.Venous blood sampleswere taken to measure serum zinc level. Blood samples were collected in ice boxes to the Community and Public Health Department laboratory where serum zinc level measurement was carried out in the atomic absorption laboratory using the atomic absorption spectrometer Autosampler Model A 600)Serum zinc values &lt;80 µg/dl are considered hypozincemia[20]. The degree of hypozincemia was suggested to be classified according to serum zinc level Degree of hypozincemia was classified according to serum zinc level (table 1).</w:t>
      </w:r>
    </w:p>
    <w:p w:rsidR="009A5889" w:rsidRPr="00C363ED" w:rsidRDefault="009A5889" w:rsidP="0026477D">
      <w:pPr>
        <w:spacing w:after="0" w:line="360" w:lineRule="auto"/>
        <w:ind w:firstLine="425"/>
        <w:jc w:val="both"/>
      </w:pPr>
      <w:r w:rsidRPr="00C363ED">
        <w:t>Table (1): Degree of hypozincemia in relation to serum zinc level</w:t>
      </w:r>
    </w:p>
    <w:tbl>
      <w:tblPr>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60"/>
        <w:gridCol w:w="5044"/>
      </w:tblGrid>
      <w:tr w:rsidR="009A5889" w:rsidRPr="00C363ED">
        <w:trPr>
          <w:jc w:val="center"/>
        </w:trPr>
        <w:tc>
          <w:tcPr>
            <w:tcW w:w="4410" w:type="dxa"/>
          </w:tcPr>
          <w:p w:rsidR="009A5889" w:rsidRPr="00C363ED" w:rsidRDefault="009A5889" w:rsidP="0026477D">
            <w:pPr>
              <w:pStyle w:val="ListParagraph"/>
              <w:spacing w:after="0" w:line="40" w:lineRule="atLeast"/>
            </w:pPr>
            <w:r w:rsidRPr="00C363ED">
              <w:t>Degree of hypozincemia(&lt;80 µg/dl)</w:t>
            </w:r>
          </w:p>
        </w:tc>
        <w:tc>
          <w:tcPr>
            <w:tcW w:w="4311" w:type="dxa"/>
          </w:tcPr>
          <w:p w:rsidR="009A5889" w:rsidRPr="00C363ED" w:rsidRDefault="009A5889" w:rsidP="0026477D">
            <w:pPr>
              <w:pStyle w:val="ListParagraph"/>
              <w:spacing w:after="0" w:line="40" w:lineRule="atLeast"/>
            </w:pPr>
            <w:r w:rsidRPr="00C363ED">
              <w:t>Serum zinc level(µg/dl)</w:t>
            </w:r>
          </w:p>
        </w:tc>
      </w:tr>
      <w:tr w:rsidR="009A5889" w:rsidRPr="00C363ED">
        <w:trPr>
          <w:jc w:val="center"/>
        </w:trPr>
        <w:tc>
          <w:tcPr>
            <w:tcW w:w="4410" w:type="dxa"/>
          </w:tcPr>
          <w:p w:rsidR="009A5889" w:rsidRPr="00C363ED" w:rsidRDefault="009A5889" w:rsidP="0026477D">
            <w:pPr>
              <w:pStyle w:val="ListParagraph"/>
              <w:spacing w:after="0" w:line="40" w:lineRule="atLeast"/>
            </w:pPr>
            <w:r w:rsidRPr="00C363ED">
              <w:t>Mild</w:t>
            </w:r>
          </w:p>
        </w:tc>
        <w:tc>
          <w:tcPr>
            <w:tcW w:w="4311" w:type="dxa"/>
          </w:tcPr>
          <w:p w:rsidR="009A5889" w:rsidRPr="00C363ED" w:rsidRDefault="009A5889" w:rsidP="0026477D">
            <w:pPr>
              <w:pStyle w:val="ListParagraph"/>
              <w:spacing w:after="0" w:line="40" w:lineRule="atLeast"/>
            </w:pPr>
            <w:r w:rsidRPr="00C363ED">
              <w:t>70 - &lt;80 µg/dl</w:t>
            </w:r>
          </w:p>
        </w:tc>
      </w:tr>
      <w:tr w:rsidR="009A5889" w:rsidRPr="00C363ED">
        <w:trPr>
          <w:jc w:val="center"/>
        </w:trPr>
        <w:tc>
          <w:tcPr>
            <w:tcW w:w="4410" w:type="dxa"/>
          </w:tcPr>
          <w:p w:rsidR="009A5889" w:rsidRPr="00C363ED" w:rsidRDefault="009A5889" w:rsidP="0026477D">
            <w:pPr>
              <w:pStyle w:val="ListParagraph"/>
              <w:spacing w:after="0" w:line="40" w:lineRule="atLeast"/>
            </w:pPr>
            <w:r w:rsidRPr="00C363ED">
              <w:t>Moderate</w:t>
            </w:r>
          </w:p>
        </w:tc>
        <w:tc>
          <w:tcPr>
            <w:tcW w:w="4311" w:type="dxa"/>
          </w:tcPr>
          <w:p w:rsidR="009A5889" w:rsidRPr="00C363ED" w:rsidRDefault="009A5889" w:rsidP="0026477D">
            <w:pPr>
              <w:pStyle w:val="ListParagraph"/>
              <w:spacing w:after="0" w:line="40" w:lineRule="atLeast"/>
            </w:pPr>
            <w:r w:rsidRPr="00C363ED">
              <w:t>60 - &lt;70 µg/dl</w:t>
            </w:r>
          </w:p>
        </w:tc>
      </w:tr>
      <w:tr w:rsidR="009A5889" w:rsidRPr="00C363ED">
        <w:trPr>
          <w:jc w:val="center"/>
        </w:trPr>
        <w:tc>
          <w:tcPr>
            <w:tcW w:w="4410" w:type="dxa"/>
          </w:tcPr>
          <w:p w:rsidR="009A5889" w:rsidRPr="00C363ED" w:rsidRDefault="009A5889" w:rsidP="0026477D">
            <w:pPr>
              <w:pStyle w:val="ListParagraph"/>
              <w:spacing w:after="0" w:line="40" w:lineRule="atLeast"/>
            </w:pPr>
            <w:r w:rsidRPr="00C363ED">
              <w:t>Severe</w:t>
            </w:r>
          </w:p>
        </w:tc>
        <w:tc>
          <w:tcPr>
            <w:tcW w:w="4311" w:type="dxa"/>
          </w:tcPr>
          <w:p w:rsidR="009A5889" w:rsidRPr="00C363ED" w:rsidRDefault="009A5889" w:rsidP="0026477D">
            <w:pPr>
              <w:pStyle w:val="ListParagraph"/>
              <w:spacing w:after="0" w:line="40" w:lineRule="atLeast"/>
            </w:pPr>
            <w:r w:rsidRPr="00C363ED">
              <w:t>50 - &lt;60 µg/dl</w:t>
            </w:r>
          </w:p>
        </w:tc>
      </w:tr>
    </w:tbl>
    <w:p w:rsidR="009A5889" w:rsidRPr="00C363ED" w:rsidRDefault="009A5889" w:rsidP="0026477D">
      <w:pPr>
        <w:spacing w:after="0" w:line="360" w:lineRule="auto"/>
        <w:ind w:firstLine="425"/>
        <w:jc w:val="both"/>
      </w:pPr>
    </w:p>
    <w:p w:rsidR="009A5889" w:rsidRPr="00C363ED" w:rsidRDefault="009A5889" w:rsidP="0026477D">
      <w:pPr>
        <w:spacing w:after="0" w:line="360" w:lineRule="auto"/>
        <w:ind w:firstLine="425"/>
        <w:jc w:val="both"/>
      </w:pPr>
      <w:r w:rsidRPr="00C363ED">
        <w:t>Height and weight were recorded prior to DEXA scanning. Both were plotted on the Egyptian percentile growth charts for stature and body mass index (BMI) [21]. Z score of the spine was recorded as a measure of BMD.</w:t>
      </w:r>
    </w:p>
    <w:p w:rsidR="009A5889" w:rsidRPr="00C363ED" w:rsidRDefault="009A5889" w:rsidP="0026477D">
      <w:pPr>
        <w:spacing w:after="0" w:line="360" w:lineRule="auto"/>
        <w:ind w:firstLine="425"/>
        <w:jc w:val="both"/>
      </w:pPr>
      <w:r w:rsidRPr="00C363ED">
        <w:t>BMD Z -score from 2.5 to -1 was considered normal,BMD Z -score from &lt; -1 to -2.5 was considered osteopenia andBMD Z-score &lt; - 2.5 was considered osteoporosis[22].</w:t>
      </w:r>
    </w:p>
    <w:p w:rsidR="009A5889" w:rsidRPr="00C363ED" w:rsidRDefault="009A5889" w:rsidP="0026477D">
      <w:pPr>
        <w:spacing w:after="0" w:line="360" w:lineRule="auto"/>
        <w:ind w:firstLine="425"/>
        <w:jc w:val="both"/>
      </w:pPr>
      <w:r w:rsidRPr="00C363ED">
        <w:t>All the patients undergoing this study were osteoporotic with Z-score &lt; - 2.5. A new classification of osteoporosis was suggested in order to facilitate the assessment of changes in BMD after zinc supplementation. Osteoporosis was classified as shown in table (2).</w:t>
      </w:r>
    </w:p>
    <w:p w:rsidR="009A5889" w:rsidRPr="00C363ED" w:rsidRDefault="009A5889" w:rsidP="0026477D">
      <w:pPr>
        <w:spacing w:after="0" w:line="360" w:lineRule="auto"/>
        <w:ind w:firstLine="425"/>
        <w:jc w:val="both"/>
      </w:pPr>
      <w:r w:rsidRPr="00C363ED">
        <w:t>Table (2): Degree of osteoporosis according to BMD Z-scoring.</w:t>
      </w:r>
    </w:p>
    <w:tbl>
      <w:tblPr>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416"/>
        <w:gridCol w:w="2788"/>
      </w:tblGrid>
      <w:tr w:rsidR="009A5889" w:rsidRPr="00C363ED">
        <w:trPr>
          <w:jc w:val="center"/>
        </w:trPr>
        <w:tc>
          <w:tcPr>
            <w:tcW w:w="4788" w:type="dxa"/>
            <w:vAlign w:val="center"/>
          </w:tcPr>
          <w:p w:rsidR="009A5889" w:rsidRPr="00C363ED" w:rsidRDefault="009A5889" w:rsidP="0026477D">
            <w:pPr>
              <w:spacing w:after="0" w:line="40" w:lineRule="atLeast"/>
            </w:pPr>
            <w:r w:rsidRPr="00C363ED">
              <w:t>Degree of osteoporosis (&lt;-2.5 SD)</w:t>
            </w:r>
          </w:p>
        </w:tc>
        <w:tc>
          <w:tcPr>
            <w:tcW w:w="1800" w:type="dxa"/>
            <w:vAlign w:val="center"/>
          </w:tcPr>
          <w:p w:rsidR="009A5889" w:rsidRPr="00C363ED" w:rsidRDefault="009A5889" w:rsidP="0026477D">
            <w:pPr>
              <w:spacing w:after="0" w:line="40" w:lineRule="atLeast"/>
            </w:pPr>
            <w:r w:rsidRPr="00C363ED">
              <w:t>Z-scoring</w:t>
            </w:r>
          </w:p>
        </w:tc>
      </w:tr>
      <w:tr w:rsidR="009A5889" w:rsidRPr="00C363ED">
        <w:trPr>
          <w:jc w:val="center"/>
        </w:trPr>
        <w:tc>
          <w:tcPr>
            <w:tcW w:w="4788" w:type="dxa"/>
            <w:vAlign w:val="center"/>
          </w:tcPr>
          <w:p w:rsidR="009A5889" w:rsidRPr="00C363ED" w:rsidRDefault="009A5889" w:rsidP="0026477D">
            <w:pPr>
              <w:spacing w:after="0" w:line="40" w:lineRule="atLeast"/>
            </w:pPr>
            <w:r w:rsidRPr="00C363ED">
              <w:t>Mild</w:t>
            </w:r>
          </w:p>
        </w:tc>
        <w:tc>
          <w:tcPr>
            <w:tcW w:w="1800" w:type="dxa"/>
            <w:vAlign w:val="center"/>
          </w:tcPr>
          <w:p w:rsidR="009A5889" w:rsidRPr="00C363ED" w:rsidRDefault="009A5889" w:rsidP="0026477D">
            <w:pPr>
              <w:spacing w:after="0" w:line="40" w:lineRule="atLeast"/>
            </w:pPr>
            <w:r w:rsidRPr="00C363ED">
              <w:t>&lt;-2.5 to -3</w:t>
            </w:r>
          </w:p>
        </w:tc>
      </w:tr>
      <w:tr w:rsidR="009A5889" w:rsidRPr="00C363ED">
        <w:trPr>
          <w:jc w:val="center"/>
        </w:trPr>
        <w:tc>
          <w:tcPr>
            <w:tcW w:w="4788" w:type="dxa"/>
            <w:vAlign w:val="center"/>
          </w:tcPr>
          <w:p w:rsidR="009A5889" w:rsidRPr="00C363ED" w:rsidRDefault="009A5889" w:rsidP="0026477D">
            <w:pPr>
              <w:spacing w:after="0" w:line="40" w:lineRule="atLeast"/>
            </w:pPr>
            <w:r w:rsidRPr="00C363ED">
              <w:t>Moderate</w:t>
            </w:r>
          </w:p>
        </w:tc>
        <w:tc>
          <w:tcPr>
            <w:tcW w:w="1800" w:type="dxa"/>
            <w:vAlign w:val="center"/>
          </w:tcPr>
          <w:p w:rsidR="009A5889" w:rsidRPr="00C363ED" w:rsidRDefault="009A5889" w:rsidP="0026477D">
            <w:pPr>
              <w:spacing w:after="0" w:line="40" w:lineRule="atLeast"/>
            </w:pPr>
            <w:r w:rsidRPr="00C363ED">
              <w:t>&lt;-3 to -3.5</w:t>
            </w:r>
          </w:p>
        </w:tc>
      </w:tr>
      <w:tr w:rsidR="009A5889" w:rsidRPr="00C363ED">
        <w:trPr>
          <w:jc w:val="center"/>
        </w:trPr>
        <w:tc>
          <w:tcPr>
            <w:tcW w:w="4788" w:type="dxa"/>
            <w:vAlign w:val="center"/>
          </w:tcPr>
          <w:p w:rsidR="009A5889" w:rsidRPr="00C363ED" w:rsidRDefault="009A5889" w:rsidP="0026477D">
            <w:pPr>
              <w:spacing w:after="0" w:line="40" w:lineRule="atLeast"/>
            </w:pPr>
            <w:r w:rsidRPr="00C363ED">
              <w:t>Severe</w:t>
            </w:r>
          </w:p>
        </w:tc>
        <w:tc>
          <w:tcPr>
            <w:tcW w:w="1800" w:type="dxa"/>
            <w:vAlign w:val="center"/>
          </w:tcPr>
          <w:p w:rsidR="009A5889" w:rsidRPr="00C363ED" w:rsidRDefault="009A5889" w:rsidP="0026477D">
            <w:pPr>
              <w:spacing w:after="0" w:line="40" w:lineRule="atLeast"/>
            </w:pPr>
            <w:r w:rsidRPr="00C363ED">
              <w:t>&lt;-3.5</w:t>
            </w:r>
          </w:p>
        </w:tc>
      </w:tr>
    </w:tbl>
    <w:p w:rsidR="009A5889" w:rsidRPr="00C363ED" w:rsidRDefault="009A5889" w:rsidP="0026477D">
      <w:pPr>
        <w:spacing w:after="0" w:line="360" w:lineRule="auto"/>
        <w:ind w:firstLine="425"/>
        <w:jc w:val="both"/>
      </w:pPr>
    </w:p>
    <w:p w:rsidR="009A5889" w:rsidRPr="00C363ED" w:rsidRDefault="009A5889" w:rsidP="0026477D">
      <w:pPr>
        <w:spacing w:after="0" w:line="360" w:lineRule="auto"/>
        <w:ind w:firstLine="425"/>
        <w:jc w:val="both"/>
      </w:pPr>
      <w:r w:rsidRPr="00C363ED">
        <w:t xml:space="preserve"> Prior to zinc supplementation CBC,serum ferritin,ALT,serum calcium and hemoglobin electrophoresis were obtained by reviewing the patients records. BMI was also recorded.</w:t>
      </w:r>
    </w:p>
    <w:p w:rsidR="009A5889" w:rsidRPr="00C363ED" w:rsidRDefault="009A5889" w:rsidP="0026477D">
      <w:pPr>
        <w:spacing w:after="0" w:line="360" w:lineRule="auto"/>
        <w:ind w:firstLine="425"/>
        <w:jc w:val="both"/>
      </w:pPr>
      <w:r w:rsidRPr="00C363ED">
        <w:t>Zinc was provided to the selected patients in the form of zinc capsules (vita zinc 25 mg once daily).After 12 month of zinc supplementationeach patient was subjected to evaluation of serum zinc,DEXA scanning to measure BMD Z- score, putting in consideration to use the same machine used in primary BMD assessment to avoid soft ware differences between machines, which might give inaccurate resultsandheight percentile was measured and plotted in the same way as before zinc supplementation.</w:t>
      </w:r>
    </w:p>
    <w:p w:rsidR="009A5889" w:rsidRPr="00C363ED" w:rsidRDefault="009A5889" w:rsidP="0026477D">
      <w:pPr>
        <w:pStyle w:val="NormalWeb"/>
        <w:shd w:val="clear" w:color="auto" w:fill="FFFFFF"/>
        <w:spacing w:before="0" w:beforeAutospacing="0" w:after="0" w:afterAutospacing="0" w:line="360" w:lineRule="auto"/>
        <w:ind w:firstLine="425"/>
        <w:jc w:val="both"/>
      </w:pPr>
      <w:r w:rsidRPr="00C363ED">
        <w:t>Statistical analysis:</w:t>
      </w:r>
    </w:p>
    <w:p w:rsidR="009A5889" w:rsidRPr="00C363ED" w:rsidRDefault="009A5889" w:rsidP="0026477D">
      <w:pPr>
        <w:spacing w:after="0" w:line="360" w:lineRule="auto"/>
        <w:ind w:firstLine="425"/>
        <w:jc w:val="both"/>
      </w:pPr>
      <w:r w:rsidRPr="00C363ED">
        <w:t xml:space="preserve">       Data obtained from the research will be organized, tabled and analyzed with the help of SPSS/PC. Categorical data were presented as frequencies (n) and percentage (%). Pearson Chi-Square was used to analyze categorical data.P value was calculated and P value less than 0.05 was considered statistically significant. Information and statistical data were provided by IT and, Institute of Postgraduate Childhood Studies</w:t>
      </w:r>
    </w:p>
    <w:p w:rsidR="009A5889" w:rsidRPr="00C363ED" w:rsidRDefault="009A5889" w:rsidP="0026477D">
      <w:pPr>
        <w:spacing w:after="0" w:line="360" w:lineRule="auto"/>
        <w:ind w:firstLine="425"/>
        <w:jc w:val="both"/>
      </w:pPr>
      <w:r w:rsidRPr="00C363ED">
        <w:t>Results</w:t>
      </w:r>
    </w:p>
    <w:p w:rsidR="009A5889" w:rsidRPr="00C363ED" w:rsidRDefault="009A5889" w:rsidP="0026477D">
      <w:pPr>
        <w:spacing w:after="0" w:line="360" w:lineRule="auto"/>
        <w:ind w:firstLine="425"/>
        <w:jc w:val="both"/>
      </w:pPr>
      <w:r w:rsidRPr="00C363ED">
        <w:t>Table(3): Frequency distribution of patients regarding their height percentile beforeand after zinc supplementation</w:t>
      </w:r>
    </w:p>
    <w:p w:rsidR="009A5889" w:rsidRPr="00C363ED" w:rsidRDefault="009A5889" w:rsidP="0026477D">
      <w:pPr>
        <w:spacing w:after="0" w:line="360" w:lineRule="auto"/>
        <w:ind w:firstLine="425"/>
        <w:jc w:val="both"/>
      </w:pPr>
    </w:p>
    <w:tbl>
      <w:tblPr>
        <w:tblW w:w="10204" w:type="dxa"/>
        <w:jc w:val="center"/>
        <w:tblLook w:val="0000"/>
      </w:tblPr>
      <w:tblGrid>
        <w:gridCol w:w="1655"/>
        <w:gridCol w:w="1475"/>
        <w:gridCol w:w="1367"/>
        <w:gridCol w:w="2132"/>
        <w:gridCol w:w="1330"/>
        <w:gridCol w:w="2245"/>
      </w:tblGrid>
      <w:tr w:rsidR="009A5889" w:rsidRPr="00C363ED">
        <w:trPr>
          <w:trHeight w:val="282"/>
          <w:jc w:val="center"/>
        </w:trPr>
        <w:tc>
          <w:tcPr>
            <w:tcW w:w="2197" w:type="dxa"/>
            <w:gridSpan w:val="2"/>
            <w:vMerge w:val="restart"/>
            <w:tcBorders>
              <w:top w:val="double" w:sz="4" w:space="0" w:color="auto"/>
              <w:left w:val="double" w:sz="4" w:space="0" w:color="auto"/>
              <w:bottom w:val="double" w:sz="4" w:space="0" w:color="auto"/>
              <w:right w:val="double" w:sz="4" w:space="0" w:color="auto"/>
            </w:tcBorders>
            <w:vAlign w:val="center"/>
          </w:tcPr>
          <w:p w:rsidR="009A5889" w:rsidRPr="00C363ED" w:rsidRDefault="009A5889" w:rsidP="0026477D">
            <w:pPr>
              <w:spacing w:after="0" w:line="40" w:lineRule="atLeast"/>
            </w:pPr>
            <w:r w:rsidRPr="00C363ED">
              <w:t> </w:t>
            </w:r>
          </w:p>
        </w:tc>
        <w:tc>
          <w:tcPr>
            <w:tcW w:w="2455" w:type="dxa"/>
            <w:gridSpan w:val="2"/>
            <w:tcBorders>
              <w:top w:val="double" w:sz="4" w:space="0" w:color="auto"/>
              <w:left w:val="double" w:sz="4" w:space="0" w:color="auto"/>
              <w:bottom w:val="single" w:sz="4" w:space="0" w:color="auto"/>
              <w:right w:val="single" w:sz="4" w:space="0" w:color="auto"/>
            </w:tcBorders>
            <w:vAlign w:val="center"/>
          </w:tcPr>
          <w:p w:rsidR="009A5889" w:rsidRPr="00C363ED" w:rsidRDefault="009A5889" w:rsidP="0026477D">
            <w:pPr>
              <w:spacing w:after="0" w:line="40" w:lineRule="atLeast"/>
            </w:pPr>
            <w:r w:rsidRPr="00C363ED">
              <w:t>Before zinc supplementation</w:t>
            </w:r>
          </w:p>
        </w:tc>
        <w:tc>
          <w:tcPr>
            <w:tcW w:w="2508" w:type="dxa"/>
            <w:gridSpan w:val="2"/>
            <w:tcBorders>
              <w:top w:val="double" w:sz="4" w:space="0" w:color="auto"/>
              <w:left w:val="nil"/>
              <w:bottom w:val="single" w:sz="4" w:space="0" w:color="auto"/>
              <w:right w:val="double" w:sz="4" w:space="0" w:color="auto"/>
            </w:tcBorders>
            <w:vAlign w:val="center"/>
          </w:tcPr>
          <w:p w:rsidR="009A5889" w:rsidRPr="00C363ED" w:rsidRDefault="009A5889" w:rsidP="0026477D">
            <w:pPr>
              <w:spacing w:after="0" w:line="40" w:lineRule="atLeast"/>
            </w:pPr>
            <w:r w:rsidRPr="00C363ED">
              <w:t>After zinc Supplementation</w:t>
            </w:r>
          </w:p>
        </w:tc>
      </w:tr>
      <w:tr w:rsidR="009A5889" w:rsidRPr="00C363ED">
        <w:trPr>
          <w:trHeight w:val="282"/>
          <w:jc w:val="center"/>
        </w:trPr>
        <w:tc>
          <w:tcPr>
            <w:tcW w:w="2197" w:type="dxa"/>
            <w:gridSpan w:val="2"/>
            <w:vMerge/>
            <w:tcBorders>
              <w:top w:val="single" w:sz="4" w:space="0" w:color="auto"/>
              <w:left w:val="double" w:sz="4" w:space="0" w:color="auto"/>
              <w:bottom w:val="double" w:sz="4" w:space="0" w:color="auto"/>
              <w:right w:val="double" w:sz="4" w:space="0" w:color="auto"/>
            </w:tcBorders>
            <w:vAlign w:val="center"/>
          </w:tcPr>
          <w:p w:rsidR="009A5889" w:rsidRPr="00C363ED" w:rsidRDefault="009A5889" w:rsidP="0026477D">
            <w:pPr>
              <w:spacing w:after="0" w:line="40" w:lineRule="atLeast"/>
            </w:pPr>
          </w:p>
        </w:tc>
        <w:tc>
          <w:tcPr>
            <w:tcW w:w="959" w:type="dxa"/>
            <w:tcBorders>
              <w:top w:val="nil"/>
              <w:left w:val="double" w:sz="4" w:space="0" w:color="auto"/>
              <w:bottom w:val="single" w:sz="4" w:space="0" w:color="auto"/>
              <w:right w:val="single" w:sz="4" w:space="0" w:color="auto"/>
            </w:tcBorders>
            <w:vAlign w:val="center"/>
          </w:tcPr>
          <w:p w:rsidR="009A5889" w:rsidRPr="00C363ED" w:rsidRDefault="009A5889" w:rsidP="0026477D">
            <w:pPr>
              <w:spacing w:after="0" w:line="40" w:lineRule="atLeast"/>
            </w:pPr>
            <w:r w:rsidRPr="00C363ED">
              <w:t>N</w:t>
            </w:r>
          </w:p>
        </w:tc>
        <w:tc>
          <w:tcPr>
            <w:tcW w:w="1496" w:type="dxa"/>
            <w:tcBorders>
              <w:top w:val="nil"/>
              <w:left w:val="nil"/>
              <w:bottom w:val="single" w:sz="4" w:space="0" w:color="auto"/>
              <w:right w:val="single" w:sz="4" w:space="0" w:color="auto"/>
            </w:tcBorders>
            <w:vAlign w:val="center"/>
          </w:tcPr>
          <w:p w:rsidR="009A5889" w:rsidRPr="00C363ED" w:rsidRDefault="009A5889" w:rsidP="0026477D">
            <w:pPr>
              <w:spacing w:after="0" w:line="40" w:lineRule="atLeast"/>
            </w:pPr>
            <w:r w:rsidRPr="00C363ED">
              <w:t>%</w:t>
            </w:r>
          </w:p>
        </w:tc>
        <w:tc>
          <w:tcPr>
            <w:tcW w:w="933" w:type="dxa"/>
            <w:tcBorders>
              <w:top w:val="nil"/>
              <w:left w:val="nil"/>
              <w:bottom w:val="single" w:sz="4" w:space="0" w:color="auto"/>
              <w:right w:val="single" w:sz="4" w:space="0" w:color="auto"/>
            </w:tcBorders>
            <w:vAlign w:val="center"/>
          </w:tcPr>
          <w:p w:rsidR="009A5889" w:rsidRPr="00C363ED" w:rsidRDefault="009A5889" w:rsidP="0026477D">
            <w:pPr>
              <w:spacing w:after="0" w:line="40" w:lineRule="atLeast"/>
            </w:pPr>
            <w:r w:rsidRPr="00C363ED">
              <w:t>N</w:t>
            </w:r>
          </w:p>
        </w:tc>
        <w:tc>
          <w:tcPr>
            <w:tcW w:w="1575" w:type="dxa"/>
            <w:tcBorders>
              <w:top w:val="nil"/>
              <w:left w:val="nil"/>
              <w:bottom w:val="single" w:sz="4" w:space="0" w:color="auto"/>
              <w:right w:val="double" w:sz="4" w:space="0" w:color="auto"/>
            </w:tcBorders>
            <w:vAlign w:val="center"/>
          </w:tcPr>
          <w:p w:rsidR="009A5889" w:rsidRPr="00C363ED" w:rsidRDefault="009A5889" w:rsidP="0026477D">
            <w:pPr>
              <w:spacing w:after="0" w:line="40" w:lineRule="atLeast"/>
            </w:pPr>
            <w:r w:rsidRPr="00C363ED">
              <w:t>%</w:t>
            </w:r>
          </w:p>
        </w:tc>
      </w:tr>
      <w:tr w:rsidR="009A5889" w:rsidRPr="00C363ED">
        <w:trPr>
          <w:trHeight w:val="335"/>
          <w:jc w:val="center"/>
        </w:trPr>
        <w:tc>
          <w:tcPr>
            <w:tcW w:w="2197" w:type="dxa"/>
            <w:gridSpan w:val="2"/>
            <w:tcBorders>
              <w:top w:val="double" w:sz="4" w:space="0" w:color="auto"/>
              <w:left w:val="double" w:sz="4" w:space="0" w:color="auto"/>
              <w:bottom w:val="single" w:sz="4" w:space="0" w:color="auto"/>
              <w:right w:val="single" w:sz="4" w:space="0" w:color="auto"/>
            </w:tcBorders>
            <w:vAlign w:val="center"/>
          </w:tcPr>
          <w:p w:rsidR="009A5889" w:rsidRPr="00C363ED" w:rsidRDefault="009A5889" w:rsidP="0026477D">
            <w:pPr>
              <w:spacing w:after="0" w:line="40" w:lineRule="atLeast"/>
            </w:pPr>
            <w:r w:rsidRPr="00C363ED">
              <w:t>5th-&lt;10th</w:t>
            </w:r>
          </w:p>
        </w:tc>
        <w:tc>
          <w:tcPr>
            <w:tcW w:w="959" w:type="dxa"/>
            <w:tcBorders>
              <w:top w:val="nil"/>
              <w:left w:val="nil"/>
              <w:bottom w:val="single" w:sz="4" w:space="0" w:color="auto"/>
              <w:right w:val="single" w:sz="4" w:space="0" w:color="auto"/>
            </w:tcBorders>
            <w:vAlign w:val="center"/>
          </w:tcPr>
          <w:p w:rsidR="009A5889" w:rsidRPr="00C363ED" w:rsidRDefault="009A5889" w:rsidP="0026477D">
            <w:pPr>
              <w:spacing w:after="0" w:line="40" w:lineRule="atLeast"/>
            </w:pPr>
            <w:r w:rsidRPr="00C363ED">
              <w:t>12</w:t>
            </w:r>
          </w:p>
        </w:tc>
        <w:tc>
          <w:tcPr>
            <w:tcW w:w="1496" w:type="dxa"/>
            <w:tcBorders>
              <w:top w:val="nil"/>
              <w:left w:val="nil"/>
              <w:bottom w:val="single" w:sz="4" w:space="0" w:color="auto"/>
              <w:right w:val="single" w:sz="4" w:space="0" w:color="auto"/>
            </w:tcBorders>
            <w:vAlign w:val="center"/>
          </w:tcPr>
          <w:p w:rsidR="009A5889" w:rsidRPr="00C363ED" w:rsidRDefault="009A5889" w:rsidP="0026477D">
            <w:pPr>
              <w:spacing w:after="0" w:line="40" w:lineRule="atLeast"/>
            </w:pPr>
            <w:r w:rsidRPr="00C363ED">
              <w:t>30.00</w:t>
            </w:r>
          </w:p>
        </w:tc>
        <w:tc>
          <w:tcPr>
            <w:tcW w:w="933" w:type="dxa"/>
            <w:tcBorders>
              <w:top w:val="nil"/>
              <w:left w:val="nil"/>
              <w:bottom w:val="single" w:sz="4" w:space="0" w:color="auto"/>
              <w:right w:val="single" w:sz="4" w:space="0" w:color="auto"/>
            </w:tcBorders>
            <w:vAlign w:val="center"/>
          </w:tcPr>
          <w:p w:rsidR="009A5889" w:rsidRPr="00C363ED" w:rsidRDefault="009A5889" w:rsidP="0026477D">
            <w:pPr>
              <w:spacing w:after="0" w:line="40" w:lineRule="atLeast"/>
            </w:pPr>
            <w:r w:rsidRPr="00C363ED">
              <w:t>6</w:t>
            </w:r>
          </w:p>
        </w:tc>
        <w:tc>
          <w:tcPr>
            <w:tcW w:w="1575" w:type="dxa"/>
            <w:tcBorders>
              <w:top w:val="nil"/>
              <w:left w:val="nil"/>
              <w:bottom w:val="single" w:sz="4" w:space="0" w:color="auto"/>
              <w:right w:val="double" w:sz="4" w:space="0" w:color="auto"/>
            </w:tcBorders>
            <w:vAlign w:val="center"/>
          </w:tcPr>
          <w:p w:rsidR="009A5889" w:rsidRPr="00C363ED" w:rsidRDefault="009A5889" w:rsidP="0026477D">
            <w:pPr>
              <w:spacing w:after="0" w:line="40" w:lineRule="atLeast"/>
            </w:pPr>
            <w:r w:rsidRPr="00C363ED">
              <w:t>15.00</w:t>
            </w:r>
          </w:p>
        </w:tc>
      </w:tr>
      <w:tr w:rsidR="009A5889" w:rsidRPr="00C363ED">
        <w:trPr>
          <w:trHeight w:val="335"/>
          <w:jc w:val="center"/>
        </w:trPr>
        <w:tc>
          <w:tcPr>
            <w:tcW w:w="2197" w:type="dxa"/>
            <w:gridSpan w:val="2"/>
            <w:tcBorders>
              <w:top w:val="nil"/>
              <w:left w:val="double" w:sz="4" w:space="0" w:color="auto"/>
              <w:bottom w:val="single" w:sz="4" w:space="0" w:color="auto"/>
              <w:right w:val="single" w:sz="4" w:space="0" w:color="auto"/>
            </w:tcBorders>
            <w:vAlign w:val="center"/>
          </w:tcPr>
          <w:p w:rsidR="009A5889" w:rsidRPr="00C363ED" w:rsidRDefault="009A5889" w:rsidP="0026477D">
            <w:pPr>
              <w:spacing w:after="0" w:line="40" w:lineRule="atLeast"/>
            </w:pPr>
            <w:r w:rsidRPr="00C363ED">
              <w:t>10th-&lt;25th</w:t>
            </w:r>
          </w:p>
        </w:tc>
        <w:tc>
          <w:tcPr>
            <w:tcW w:w="959" w:type="dxa"/>
            <w:tcBorders>
              <w:top w:val="nil"/>
              <w:left w:val="nil"/>
              <w:bottom w:val="single" w:sz="4" w:space="0" w:color="auto"/>
              <w:right w:val="single" w:sz="4" w:space="0" w:color="auto"/>
            </w:tcBorders>
            <w:vAlign w:val="center"/>
          </w:tcPr>
          <w:p w:rsidR="009A5889" w:rsidRPr="00C363ED" w:rsidRDefault="009A5889" w:rsidP="0026477D">
            <w:pPr>
              <w:spacing w:after="0" w:line="40" w:lineRule="atLeast"/>
            </w:pPr>
            <w:r w:rsidRPr="00C363ED">
              <w:t>19</w:t>
            </w:r>
          </w:p>
        </w:tc>
        <w:tc>
          <w:tcPr>
            <w:tcW w:w="1496" w:type="dxa"/>
            <w:tcBorders>
              <w:top w:val="nil"/>
              <w:left w:val="nil"/>
              <w:bottom w:val="single" w:sz="4" w:space="0" w:color="auto"/>
              <w:right w:val="single" w:sz="4" w:space="0" w:color="auto"/>
            </w:tcBorders>
            <w:vAlign w:val="center"/>
          </w:tcPr>
          <w:p w:rsidR="009A5889" w:rsidRPr="00C363ED" w:rsidRDefault="009A5889" w:rsidP="0026477D">
            <w:pPr>
              <w:spacing w:after="0" w:line="40" w:lineRule="atLeast"/>
            </w:pPr>
            <w:r w:rsidRPr="00C363ED">
              <w:t>47.50</w:t>
            </w:r>
          </w:p>
        </w:tc>
        <w:tc>
          <w:tcPr>
            <w:tcW w:w="933" w:type="dxa"/>
            <w:tcBorders>
              <w:top w:val="nil"/>
              <w:left w:val="nil"/>
              <w:bottom w:val="single" w:sz="4" w:space="0" w:color="auto"/>
              <w:right w:val="single" w:sz="4" w:space="0" w:color="auto"/>
            </w:tcBorders>
            <w:vAlign w:val="center"/>
          </w:tcPr>
          <w:p w:rsidR="009A5889" w:rsidRPr="00C363ED" w:rsidRDefault="009A5889" w:rsidP="0026477D">
            <w:pPr>
              <w:spacing w:after="0" w:line="40" w:lineRule="atLeast"/>
            </w:pPr>
            <w:r w:rsidRPr="00C363ED">
              <w:t>18</w:t>
            </w:r>
          </w:p>
        </w:tc>
        <w:tc>
          <w:tcPr>
            <w:tcW w:w="1575" w:type="dxa"/>
            <w:tcBorders>
              <w:top w:val="nil"/>
              <w:left w:val="nil"/>
              <w:bottom w:val="single" w:sz="4" w:space="0" w:color="auto"/>
              <w:right w:val="double" w:sz="4" w:space="0" w:color="auto"/>
            </w:tcBorders>
            <w:vAlign w:val="center"/>
          </w:tcPr>
          <w:p w:rsidR="009A5889" w:rsidRPr="00C363ED" w:rsidRDefault="009A5889" w:rsidP="0026477D">
            <w:pPr>
              <w:spacing w:after="0" w:line="40" w:lineRule="atLeast"/>
            </w:pPr>
            <w:r w:rsidRPr="00C363ED">
              <w:t>45.00</w:t>
            </w:r>
          </w:p>
        </w:tc>
      </w:tr>
      <w:tr w:rsidR="009A5889" w:rsidRPr="00C363ED">
        <w:trPr>
          <w:trHeight w:val="335"/>
          <w:jc w:val="center"/>
        </w:trPr>
        <w:tc>
          <w:tcPr>
            <w:tcW w:w="2197" w:type="dxa"/>
            <w:gridSpan w:val="2"/>
            <w:tcBorders>
              <w:top w:val="nil"/>
              <w:left w:val="double" w:sz="4" w:space="0" w:color="auto"/>
              <w:bottom w:val="single" w:sz="4" w:space="0" w:color="auto"/>
              <w:right w:val="single" w:sz="4" w:space="0" w:color="auto"/>
            </w:tcBorders>
            <w:vAlign w:val="center"/>
          </w:tcPr>
          <w:p w:rsidR="009A5889" w:rsidRPr="00C363ED" w:rsidRDefault="009A5889" w:rsidP="0026477D">
            <w:pPr>
              <w:spacing w:after="0" w:line="40" w:lineRule="atLeast"/>
            </w:pPr>
            <w:r w:rsidRPr="00C363ED">
              <w:t>25th-&lt;50th</w:t>
            </w:r>
          </w:p>
        </w:tc>
        <w:tc>
          <w:tcPr>
            <w:tcW w:w="959" w:type="dxa"/>
            <w:tcBorders>
              <w:top w:val="nil"/>
              <w:left w:val="nil"/>
              <w:bottom w:val="single" w:sz="4" w:space="0" w:color="auto"/>
              <w:right w:val="single" w:sz="4" w:space="0" w:color="auto"/>
            </w:tcBorders>
            <w:vAlign w:val="center"/>
          </w:tcPr>
          <w:p w:rsidR="009A5889" w:rsidRPr="00C363ED" w:rsidRDefault="009A5889" w:rsidP="0026477D">
            <w:pPr>
              <w:spacing w:after="0" w:line="40" w:lineRule="atLeast"/>
            </w:pPr>
            <w:r w:rsidRPr="00C363ED">
              <w:t>9</w:t>
            </w:r>
          </w:p>
        </w:tc>
        <w:tc>
          <w:tcPr>
            <w:tcW w:w="1496" w:type="dxa"/>
            <w:tcBorders>
              <w:top w:val="nil"/>
              <w:left w:val="nil"/>
              <w:bottom w:val="single" w:sz="4" w:space="0" w:color="auto"/>
              <w:right w:val="single" w:sz="4" w:space="0" w:color="auto"/>
            </w:tcBorders>
            <w:vAlign w:val="center"/>
          </w:tcPr>
          <w:p w:rsidR="009A5889" w:rsidRPr="00C363ED" w:rsidRDefault="009A5889" w:rsidP="0026477D">
            <w:pPr>
              <w:spacing w:after="0" w:line="40" w:lineRule="atLeast"/>
            </w:pPr>
            <w:r w:rsidRPr="00C363ED">
              <w:t>22.50</w:t>
            </w:r>
          </w:p>
        </w:tc>
        <w:tc>
          <w:tcPr>
            <w:tcW w:w="933" w:type="dxa"/>
            <w:tcBorders>
              <w:top w:val="nil"/>
              <w:left w:val="nil"/>
              <w:bottom w:val="single" w:sz="4" w:space="0" w:color="auto"/>
              <w:right w:val="single" w:sz="4" w:space="0" w:color="auto"/>
            </w:tcBorders>
            <w:vAlign w:val="center"/>
          </w:tcPr>
          <w:p w:rsidR="009A5889" w:rsidRPr="00C363ED" w:rsidRDefault="009A5889" w:rsidP="0026477D">
            <w:pPr>
              <w:spacing w:after="0" w:line="40" w:lineRule="atLeast"/>
            </w:pPr>
            <w:r w:rsidRPr="00C363ED">
              <w:t>14</w:t>
            </w:r>
          </w:p>
        </w:tc>
        <w:tc>
          <w:tcPr>
            <w:tcW w:w="1575" w:type="dxa"/>
            <w:tcBorders>
              <w:top w:val="nil"/>
              <w:left w:val="nil"/>
              <w:bottom w:val="single" w:sz="4" w:space="0" w:color="auto"/>
              <w:right w:val="double" w:sz="4" w:space="0" w:color="auto"/>
            </w:tcBorders>
            <w:vAlign w:val="center"/>
          </w:tcPr>
          <w:p w:rsidR="009A5889" w:rsidRPr="00C363ED" w:rsidRDefault="009A5889" w:rsidP="0026477D">
            <w:pPr>
              <w:spacing w:after="0" w:line="40" w:lineRule="atLeast"/>
            </w:pPr>
            <w:r w:rsidRPr="00C363ED">
              <w:t>35.00</w:t>
            </w:r>
          </w:p>
        </w:tc>
      </w:tr>
      <w:tr w:rsidR="009A5889" w:rsidRPr="00C363ED">
        <w:trPr>
          <w:trHeight w:val="335"/>
          <w:jc w:val="center"/>
        </w:trPr>
        <w:tc>
          <w:tcPr>
            <w:tcW w:w="2197" w:type="dxa"/>
            <w:gridSpan w:val="2"/>
            <w:tcBorders>
              <w:top w:val="nil"/>
              <w:left w:val="double" w:sz="4" w:space="0" w:color="auto"/>
              <w:bottom w:val="single" w:sz="4" w:space="0" w:color="auto"/>
              <w:right w:val="single" w:sz="4" w:space="0" w:color="auto"/>
            </w:tcBorders>
            <w:vAlign w:val="center"/>
          </w:tcPr>
          <w:p w:rsidR="009A5889" w:rsidRPr="00C363ED" w:rsidRDefault="009A5889" w:rsidP="0026477D">
            <w:pPr>
              <w:spacing w:after="0" w:line="40" w:lineRule="atLeast"/>
            </w:pPr>
            <w:r w:rsidRPr="00C363ED">
              <w:t>50th-&lt;75th</w:t>
            </w:r>
          </w:p>
        </w:tc>
        <w:tc>
          <w:tcPr>
            <w:tcW w:w="959" w:type="dxa"/>
            <w:tcBorders>
              <w:top w:val="nil"/>
              <w:left w:val="nil"/>
              <w:bottom w:val="single" w:sz="4" w:space="0" w:color="auto"/>
              <w:right w:val="single" w:sz="4" w:space="0" w:color="auto"/>
            </w:tcBorders>
            <w:vAlign w:val="center"/>
          </w:tcPr>
          <w:p w:rsidR="009A5889" w:rsidRPr="00C363ED" w:rsidRDefault="009A5889" w:rsidP="0026477D">
            <w:pPr>
              <w:spacing w:after="0" w:line="40" w:lineRule="atLeast"/>
            </w:pPr>
            <w:r w:rsidRPr="00C363ED">
              <w:t>0</w:t>
            </w:r>
          </w:p>
        </w:tc>
        <w:tc>
          <w:tcPr>
            <w:tcW w:w="1496" w:type="dxa"/>
            <w:tcBorders>
              <w:top w:val="nil"/>
              <w:left w:val="nil"/>
              <w:bottom w:val="single" w:sz="4" w:space="0" w:color="auto"/>
              <w:right w:val="single" w:sz="4" w:space="0" w:color="auto"/>
            </w:tcBorders>
            <w:vAlign w:val="center"/>
          </w:tcPr>
          <w:p w:rsidR="009A5889" w:rsidRPr="00C363ED" w:rsidRDefault="009A5889" w:rsidP="0026477D">
            <w:pPr>
              <w:spacing w:after="0" w:line="40" w:lineRule="atLeast"/>
            </w:pPr>
            <w:r w:rsidRPr="00C363ED">
              <w:t>0.00</w:t>
            </w:r>
          </w:p>
        </w:tc>
        <w:tc>
          <w:tcPr>
            <w:tcW w:w="933" w:type="dxa"/>
            <w:tcBorders>
              <w:top w:val="nil"/>
              <w:left w:val="nil"/>
              <w:bottom w:val="single" w:sz="4" w:space="0" w:color="auto"/>
              <w:right w:val="single" w:sz="4" w:space="0" w:color="auto"/>
            </w:tcBorders>
            <w:vAlign w:val="center"/>
          </w:tcPr>
          <w:p w:rsidR="009A5889" w:rsidRPr="00C363ED" w:rsidRDefault="009A5889" w:rsidP="0026477D">
            <w:pPr>
              <w:spacing w:after="0" w:line="40" w:lineRule="atLeast"/>
            </w:pPr>
            <w:r w:rsidRPr="00C363ED">
              <w:t>2</w:t>
            </w:r>
          </w:p>
        </w:tc>
        <w:tc>
          <w:tcPr>
            <w:tcW w:w="1575" w:type="dxa"/>
            <w:tcBorders>
              <w:top w:val="nil"/>
              <w:left w:val="nil"/>
              <w:bottom w:val="single" w:sz="4" w:space="0" w:color="auto"/>
              <w:right w:val="double" w:sz="4" w:space="0" w:color="auto"/>
            </w:tcBorders>
            <w:vAlign w:val="center"/>
          </w:tcPr>
          <w:p w:rsidR="009A5889" w:rsidRPr="00C363ED" w:rsidRDefault="009A5889" w:rsidP="0026477D">
            <w:pPr>
              <w:spacing w:after="0" w:line="40" w:lineRule="atLeast"/>
            </w:pPr>
            <w:r w:rsidRPr="00C363ED">
              <w:t>5.00</w:t>
            </w:r>
          </w:p>
        </w:tc>
      </w:tr>
      <w:tr w:rsidR="009A5889" w:rsidRPr="00C363ED">
        <w:trPr>
          <w:trHeight w:val="282"/>
          <w:jc w:val="center"/>
        </w:trPr>
        <w:tc>
          <w:tcPr>
            <w:tcW w:w="2197" w:type="dxa"/>
            <w:gridSpan w:val="2"/>
            <w:tcBorders>
              <w:top w:val="nil"/>
              <w:left w:val="double" w:sz="4" w:space="0" w:color="auto"/>
              <w:bottom w:val="single" w:sz="4" w:space="0" w:color="auto"/>
              <w:right w:val="single" w:sz="4" w:space="0" w:color="auto"/>
            </w:tcBorders>
            <w:vAlign w:val="center"/>
          </w:tcPr>
          <w:p w:rsidR="009A5889" w:rsidRPr="00C363ED" w:rsidRDefault="009A5889" w:rsidP="0026477D">
            <w:pPr>
              <w:spacing w:after="0" w:line="40" w:lineRule="atLeast"/>
            </w:pPr>
            <w:r w:rsidRPr="00C363ED">
              <w:t>Total</w:t>
            </w:r>
          </w:p>
        </w:tc>
        <w:tc>
          <w:tcPr>
            <w:tcW w:w="959" w:type="dxa"/>
            <w:tcBorders>
              <w:top w:val="nil"/>
              <w:left w:val="nil"/>
              <w:bottom w:val="single" w:sz="4" w:space="0" w:color="auto"/>
              <w:right w:val="single" w:sz="4" w:space="0" w:color="auto"/>
            </w:tcBorders>
            <w:vAlign w:val="center"/>
          </w:tcPr>
          <w:p w:rsidR="009A5889" w:rsidRPr="00C363ED" w:rsidRDefault="009A5889" w:rsidP="0026477D">
            <w:pPr>
              <w:spacing w:after="0" w:line="40" w:lineRule="atLeast"/>
            </w:pPr>
            <w:r w:rsidRPr="00C363ED">
              <w:t>40</w:t>
            </w:r>
          </w:p>
        </w:tc>
        <w:tc>
          <w:tcPr>
            <w:tcW w:w="1496" w:type="dxa"/>
            <w:tcBorders>
              <w:top w:val="nil"/>
              <w:left w:val="nil"/>
              <w:bottom w:val="single" w:sz="4" w:space="0" w:color="auto"/>
              <w:right w:val="single" w:sz="4" w:space="0" w:color="auto"/>
            </w:tcBorders>
            <w:vAlign w:val="center"/>
          </w:tcPr>
          <w:p w:rsidR="009A5889" w:rsidRPr="00C363ED" w:rsidRDefault="009A5889" w:rsidP="0026477D">
            <w:pPr>
              <w:spacing w:after="0" w:line="40" w:lineRule="atLeast"/>
            </w:pPr>
            <w:r w:rsidRPr="00C363ED">
              <w:t>100.00</w:t>
            </w:r>
          </w:p>
        </w:tc>
        <w:tc>
          <w:tcPr>
            <w:tcW w:w="933" w:type="dxa"/>
            <w:tcBorders>
              <w:top w:val="nil"/>
              <w:left w:val="nil"/>
              <w:bottom w:val="single" w:sz="4" w:space="0" w:color="auto"/>
              <w:right w:val="single" w:sz="4" w:space="0" w:color="auto"/>
            </w:tcBorders>
            <w:vAlign w:val="center"/>
          </w:tcPr>
          <w:p w:rsidR="009A5889" w:rsidRPr="00C363ED" w:rsidRDefault="009A5889" w:rsidP="0026477D">
            <w:pPr>
              <w:spacing w:after="0" w:line="40" w:lineRule="atLeast"/>
            </w:pPr>
            <w:r w:rsidRPr="00C363ED">
              <w:t>40</w:t>
            </w:r>
          </w:p>
        </w:tc>
        <w:tc>
          <w:tcPr>
            <w:tcW w:w="1575" w:type="dxa"/>
            <w:tcBorders>
              <w:top w:val="nil"/>
              <w:left w:val="nil"/>
              <w:bottom w:val="single" w:sz="4" w:space="0" w:color="auto"/>
              <w:right w:val="double" w:sz="4" w:space="0" w:color="auto"/>
            </w:tcBorders>
            <w:vAlign w:val="center"/>
          </w:tcPr>
          <w:p w:rsidR="009A5889" w:rsidRPr="00C363ED" w:rsidRDefault="009A5889" w:rsidP="0026477D">
            <w:pPr>
              <w:spacing w:after="0" w:line="40" w:lineRule="atLeast"/>
            </w:pPr>
            <w:r w:rsidRPr="00C363ED">
              <w:t>100.00</w:t>
            </w:r>
          </w:p>
        </w:tc>
      </w:tr>
      <w:tr w:rsidR="009A5889" w:rsidRPr="00C363ED">
        <w:trPr>
          <w:trHeight w:val="282"/>
          <w:jc w:val="center"/>
        </w:trPr>
        <w:tc>
          <w:tcPr>
            <w:tcW w:w="1162" w:type="dxa"/>
            <w:vMerge w:val="restart"/>
            <w:tcBorders>
              <w:top w:val="nil"/>
              <w:left w:val="double" w:sz="4" w:space="0" w:color="auto"/>
              <w:right w:val="single" w:sz="4" w:space="0" w:color="auto"/>
            </w:tcBorders>
            <w:vAlign w:val="center"/>
          </w:tcPr>
          <w:p w:rsidR="009A5889" w:rsidRPr="00C363ED" w:rsidRDefault="009A5889" w:rsidP="0026477D">
            <w:pPr>
              <w:spacing w:after="0" w:line="40" w:lineRule="atLeast"/>
            </w:pPr>
            <w:r w:rsidRPr="00C363ED">
              <w:t>Chi-square</w:t>
            </w:r>
          </w:p>
        </w:tc>
        <w:tc>
          <w:tcPr>
            <w:tcW w:w="1035" w:type="dxa"/>
            <w:tcBorders>
              <w:top w:val="nil"/>
              <w:left w:val="single" w:sz="4" w:space="0" w:color="auto"/>
              <w:bottom w:val="single" w:sz="4" w:space="0" w:color="auto"/>
              <w:right w:val="single" w:sz="4" w:space="0" w:color="auto"/>
            </w:tcBorders>
            <w:vAlign w:val="center"/>
          </w:tcPr>
          <w:p w:rsidR="009A5889" w:rsidRPr="00C363ED" w:rsidRDefault="009A5889" w:rsidP="0026477D">
            <w:pPr>
              <w:spacing w:after="0" w:line="40" w:lineRule="atLeast"/>
            </w:pPr>
            <w:r w:rsidRPr="00C363ED">
              <w:t>X2</w:t>
            </w:r>
          </w:p>
        </w:tc>
        <w:tc>
          <w:tcPr>
            <w:tcW w:w="4963" w:type="dxa"/>
            <w:gridSpan w:val="4"/>
            <w:tcBorders>
              <w:top w:val="single" w:sz="4" w:space="0" w:color="auto"/>
              <w:left w:val="nil"/>
              <w:bottom w:val="single" w:sz="4" w:space="0" w:color="auto"/>
              <w:right w:val="double" w:sz="4" w:space="0" w:color="auto"/>
            </w:tcBorders>
            <w:vAlign w:val="center"/>
          </w:tcPr>
          <w:p w:rsidR="009A5889" w:rsidRPr="00C363ED" w:rsidRDefault="009A5889" w:rsidP="0026477D">
            <w:pPr>
              <w:spacing w:after="0" w:line="40" w:lineRule="atLeast"/>
            </w:pPr>
            <w:r w:rsidRPr="00C363ED">
              <w:t> 5.93</w:t>
            </w:r>
          </w:p>
        </w:tc>
      </w:tr>
      <w:tr w:rsidR="009A5889" w:rsidRPr="00C363ED">
        <w:trPr>
          <w:trHeight w:val="282"/>
          <w:jc w:val="center"/>
        </w:trPr>
        <w:tc>
          <w:tcPr>
            <w:tcW w:w="1162" w:type="dxa"/>
            <w:vMerge/>
            <w:tcBorders>
              <w:left w:val="double" w:sz="4" w:space="0" w:color="auto"/>
              <w:bottom w:val="double" w:sz="4" w:space="0" w:color="auto"/>
              <w:right w:val="single" w:sz="4" w:space="0" w:color="auto"/>
            </w:tcBorders>
            <w:noWrap/>
            <w:vAlign w:val="center"/>
          </w:tcPr>
          <w:p w:rsidR="009A5889" w:rsidRPr="00C363ED" w:rsidRDefault="009A5889" w:rsidP="0026477D">
            <w:pPr>
              <w:spacing w:after="0" w:line="40" w:lineRule="atLeast"/>
            </w:pPr>
          </w:p>
        </w:tc>
        <w:tc>
          <w:tcPr>
            <w:tcW w:w="1035" w:type="dxa"/>
            <w:tcBorders>
              <w:top w:val="nil"/>
              <w:left w:val="single" w:sz="4" w:space="0" w:color="auto"/>
              <w:bottom w:val="double" w:sz="4" w:space="0" w:color="auto"/>
              <w:right w:val="single" w:sz="4" w:space="0" w:color="auto"/>
            </w:tcBorders>
            <w:vAlign w:val="center"/>
          </w:tcPr>
          <w:p w:rsidR="009A5889" w:rsidRPr="00C363ED" w:rsidRDefault="009A5889" w:rsidP="0026477D">
            <w:pPr>
              <w:spacing w:after="0" w:line="40" w:lineRule="atLeast"/>
            </w:pPr>
            <w:r w:rsidRPr="00C363ED">
              <w:t>P-value</w:t>
            </w:r>
          </w:p>
        </w:tc>
        <w:tc>
          <w:tcPr>
            <w:tcW w:w="4963" w:type="dxa"/>
            <w:gridSpan w:val="4"/>
            <w:tcBorders>
              <w:top w:val="single" w:sz="4" w:space="0" w:color="auto"/>
              <w:left w:val="nil"/>
              <w:bottom w:val="double" w:sz="4" w:space="0" w:color="auto"/>
              <w:right w:val="double" w:sz="4" w:space="0" w:color="auto"/>
            </w:tcBorders>
            <w:vAlign w:val="center"/>
          </w:tcPr>
          <w:p w:rsidR="009A5889" w:rsidRPr="00C363ED" w:rsidRDefault="009A5889" w:rsidP="0026477D">
            <w:pPr>
              <w:spacing w:after="0" w:line="40" w:lineRule="atLeast"/>
            </w:pPr>
            <w:r w:rsidRPr="00C363ED">
              <w:t> 0.115</w:t>
            </w:r>
          </w:p>
        </w:tc>
      </w:tr>
    </w:tbl>
    <w:p w:rsidR="009A5889" w:rsidRPr="00C363ED" w:rsidRDefault="009A5889" w:rsidP="0026477D">
      <w:pPr>
        <w:spacing w:after="0" w:line="360" w:lineRule="auto"/>
        <w:ind w:firstLine="425"/>
        <w:jc w:val="both"/>
      </w:pPr>
    </w:p>
    <w:p w:rsidR="009A5889" w:rsidRPr="00C363ED" w:rsidRDefault="009A5889" w:rsidP="0026477D">
      <w:pPr>
        <w:spacing w:after="0" w:line="360" w:lineRule="auto"/>
        <w:ind w:firstLine="425"/>
        <w:jc w:val="both"/>
      </w:pPr>
      <w:r w:rsidRPr="00C363ED">
        <w:t>Before zinc supplementation 77.5% of patients have less than 25th height percentile. The figure dropped to 60% after zinc was provided. No patients recorded 50th height percentile or more before zinc was given and 5% exceeded 50th percentile after zinc supplementation.</w:t>
      </w:r>
    </w:p>
    <w:p w:rsidR="009A5889" w:rsidRPr="00C363ED" w:rsidRDefault="009A5889" w:rsidP="0026477D">
      <w:pPr>
        <w:spacing w:after="0" w:line="360" w:lineRule="auto"/>
        <w:ind w:firstLine="425"/>
        <w:jc w:val="both"/>
      </w:pPr>
      <w:r w:rsidRPr="00C363ED">
        <w:t>Table (4): Comparison of height, serum zinc level, and BMD Z-scoring, before and after zinc supplementation in the total sample.</w:t>
      </w:r>
    </w:p>
    <w:p w:rsidR="009A5889" w:rsidRPr="00C363ED" w:rsidRDefault="009A5889" w:rsidP="0026477D">
      <w:pPr>
        <w:spacing w:after="0" w:line="360" w:lineRule="auto"/>
        <w:ind w:firstLine="425"/>
        <w:jc w:val="both"/>
        <w:rPr>
          <w:rtl/>
        </w:rPr>
      </w:pPr>
    </w:p>
    <w:tbl>
      <w:tblPr>
        <w:tblW w:w="10204" w:type="dxa"/>
        <w:jc w:val="center"/>
        <w:tblLook w:val="0000"/>
      </w:tblPr>
      <w:tblGrid>
        <w:gridCol w:w="2906"/>
        <w:gridCol w:w="1047"/>
        <w:gridCol w:w="354"/>
        <w:gridCol w:w="1021"/>
        <w:gridCol w:w="1048"/>
        <w:gridCol w:w="416"/>
        <w:gridCol w:w="1021"/>
        <w:gridCol w:w="1287"/>
        <w:gridCol w:w="1104"/>
      </w:tblGrid>
      <w:tr w:rsidR="009A5889" w:rsidRPr="00C363ED">
        <w:trPr>
          <w:trHeight w:val="161"/>
          <w:jc w:val="center"/>
        </w:trPr>
        <w:tc>
          <w:tcPr>
            <w:tcW w:w="2467" w:type="dxa"/>
            <w:vMerge w:val="restart"/>
            <w:tcBorders>
              <w:top w:val="double" w:sz="4" w:space="0" w:color="auto"/>
              <w:left w:val="double" w:sz="4" w:space="0" w:color="auto"/>
              <w:bottom w:val="double" w:sz="4" w:space="0" w:color="auto"/>
              <w:right w:val="double" w:sz="4" w:space="0" w:color="auto"/>
            </w:tcBorders>
            <w:noWrap/>
            <w:vAlign w:val="center"/>
          </w:tcPr>
          <w:p w:rsidR="009A5889" w:rsidRPr="00C363ED" w:rsidRDefault="009A5889" w:rsidP="0026477D">
            <w:pPr>
              <w:spacing w:after="0" w:line="40" w:lineRule="atLeast"/>
            </w:pPr>
            <w:r w:rsidRPr="00C363ED">
              <w:t> </w:t>
            </w:r>
          </w:p>
        </w:tc>
        <w:tc>
          <w:tcPr>
            <w:tcW w:w="4163" w:type="dxa"/>
            <w:gridSpan w:val="6"/>
            <w:tcBorders>
              <w:top w:val="double" w:sz="4" w:space="0" w:color="auto"/>
              <w:left w:val="double" w:sz="4" w:space="0" w:color="auto"/>
              <w:bottom w:val="double" w:sz="4" w:space="0" w:color="auto"/>
              <w:right w:val="double" w:sz="4" w:space="0" w:color="auto"/>
            </w:tcBorders>
            <w:noWrap/>
            <w:vAlign w:val="center"/>
          </w:tcPr>
          <w:p w:rsidR="009A5889" w:rsidRPr="00C363ED" w:rsidRDefault="009A5889" w:rsidP="0026477D">
            <w:pPr>
              <w:spacing w:after="0" w:line="40" w:lineRule="atLeast"/>
            </w:pPr>
            <w:r w:rsidRPr="00C363ED">
              <w:t> </w:t>
            </w:r>
          </w:p>
        </w:tc>
        <w:tc>
          <w:tcPr>
            <w:tcW w:w="1971" w:type="dxa"/>
            <w:gridSpan w:val="2"/>
            <w:tcBorders>
              <w:top w:val="double" w:sz="4" w:space="0" w:color="auto"/>
              <w:left w:val="double" w:sz="4" w:space="0" w:color="auto"/>
              <w:bottom w:val="double" w:sz="4" w:space="0" w:color="auto"/>
              <w:right w:val="double" w:sz="4" w:space="0" w:color="auto"/>
            </w:tcBorders>
            <w:noWrap/>
            <w:vAlign w:val="center"/>
          </w:tcPr>
          <w:p w:rsidR="009A5889" w:rsidRPr="00C363ED" w:rsidRDefault="009A5889" w:rsidP="0026477D">
            <w:pPr>
              <w:spacing w:after="0" w:line="40" w:lineRule="atLeast"/>
            </w:pPr>
            <w:r w:rsidRPr="00C363ED">
              <w:t>Paired Samples Test</w:t>
            </w:r>
          </w:p>
        </w:tc>
      </w:tr>
      <w:tr w:rsidR="009A5889" w:rsidRPr="00C363ED">
        <w:trPr>
          <w:trHeight w:val="161"/>
          <w:jc w:val="center"/>
        </w:trPr>
        <w:tc>
          <w:tcPr>
            <w:tcW w:w="2467" w:type="dxa"/>
            <w:vMerge/>
            <w:tcBorders>
              <w:top w:val="single" w:sz="4" w:space="0" w:color="auto"/>
              <w:left w:val="double" w:sz="4" w:space="0" w:color="auto"/>
              <w:bottom w:val="double" w:sz="4" w:space="0" w:color="auto"/>
              <w:right w:val="double" w:sz="4" w:space="0" w:color="auto"/>
            </w:tcBorders>
            <w:vAlign w:val="center"/>
          </w:tcPr>
          <w:p w:rsidR="009A5889" w:rsidRPr="00C363ED" w:rsidRDefault="009A5889" w:rsidP="0026477D">
            <w:pPr>
              <w:spacing w:after="0" w:line="40" w:lineRule="atLeast"/>
            </w:pPr>
          </w:p>
        </w:tc>
        <w:tc>
          <w:tcPr>
            <w:tcW w:w="2055" w:type="dxa"/>
            <w:gridSpan w:val="3"/>
            <w:tcBorders>
              <w:top w:val="double" w:sz="4" w:space="0" w:color="auto"/>
              <w:left w:val="double" w:sz="4" w:space="0" w:color="auto"/>
              <w:bottom w:val="single" w:sz="4" w:space="0" w:color="auto"/>
              <w:right w:val="single" w:sz="4" w:space="0" w:color="auto"/>
            </w:tcBorders>
            <w:noWrap/>
            <w:vAlign w:val="center"/>
          </w:tcPr>
          <w:p w:rsidR="009A5889" w:rsidRPr="00C363ED" w:rsidRDefault="009A5889" w:rsidP="0026477D">
            <w:pPr>
              <w:spacing w:after="0" w:line="40" w:lineRule="atLeast"/>
            </w:pPr>
            <w:r w:rsidRPr="00C363ED">
              <w:t>Range</w:t>
            </w:r>
          </w:p>
        </w:tc>
        <w:tc>
          <w:tcPr>
            <w:tcW w:w="889" w:type="dxa"/>
            <w:tcBorders>
              <w:top w:val="double" w:sz="4" w:space="0" w:color="auto"/>
              <w:left w:val="nil"/>
              <w:bottom w:val="single" w:sz="4" w:space="0" w:color="auto"/>
              <w:right w:val="nil"/>
            </w:tcBorders>
            <w:noWrap/>
            <w:vAlign w:val="center"/>
          </w:tcPr>
          <w:p w:rsidR="009A5889" w:rsidRPr="00C363ED" w:rsidRDefault="009A5889" w:rsidP="0026477D">
            <w:pPr>
              <w:spacing w:after="0" w:line="40" w:lineRule="atLeast"/>
            </w:pPr>
            <w:r w:rsidRPr="00C363ED">
              <w:t>Mean</w:t>
            </w:r>
          </w:p>
        </w:tc>
        <w:tc>
          <w:tcPr>
            <w:tcW w:w="353" w:type="dxa"/>
            <w:tcBorders>
              <w:top w:val="double" w:sz="4" w:space="0" w:color="auto"/>
              <w:left w:val="nil"/>
              <w:bottom w:val="single" w:sz="4" w:space="0" w:color="auto"/>
              <w:right w:val="nil"/>
            </w:tcBorders>
            <w:noWrap/>
            <w:vAlign w:val="center"/>
          </w:tcPr>
          <w:p w:rsidR="009A5889" w:rsidRPr="00C363ED" w:rsidRDefault="009A5889" w:rsidP="0026477D">
            <w:pPr>
              <w:spacing w:after="0" w:line="40" w:lineRule="atLeast"/>
            </w:pPr>
            <w:r w:rsidRPr="00C363ED">
              <w:t>±</w:t>
            </w:r>
          </w:p>
        </w:tc>
        <w:tc>
          <w:tcPr>
            <w:tcW w:w="866" w:type="dxa"/>
            <w:tcBorders>
              <w:top w:val="double" w:sz="4" w:space="0" w:color="auto"/>
              <w:left w:val="nil"/>
              <w:bottom w:val="single" w:sz="4" w:space="0" w:color="auto"/>
              <w:right w:val="single" w:sz="4" w:space="0" w:color="auto"/>
            </w:tcBorders>
            <w:noWrap/>
            <w:vAlign w:val="center"/>
          </w:tcPr>
          <w:p w:rsidR="009A5889" w:rsidRPr="00C363ED" w:rsidRDefault="009A5889" w:rsidP="0026477D">
            <w:pPr>
              <w:spacing w:after="0" w:line="40" w:lineRule="atLeast"/>
            </w:pPr>
            <w:r w:rsidRPr="00C363ED">
              <w:t>SD</w:t>
            </w:r>
          </w:p>
        </w:tc>
        <w:tc>
          <w:tcPr>
            <w:tcW w:w="1092" w:type="dxa"/>
            <w:tcBorders>
              <w:top w:val="double" w:sz="4" w:space="0" w:color="auto"/>
              <w:left w:val="nil"/>
              <w:bottom w:val="single" w:sz="4" w:space="0" w:color="auto"/>
              <w:right w:val="single" w:sz="4" w:space="0" w:color="auto"/>
            </w:tcBorders>
            <w:noWrap/>
            <w:vAlign w:val="center"/>
          </w:tcPr>
          <w:p w:rsidR="009A5889" w:rsidRPr="00C363ED" w:rsidRDefault="009A5889" w:rsidP="0026477D">
            <w:pPr>
              <w:spacing w:after="0" w:line="40" w:lineRule="atLeast"/>
            </w:pPr>
            <w:r w:rsidRPr="00C363ED">
              <w:t>t</w:t>
            </w:r>
          </w:p>
        </w:tc>
        <w:tc>
          <w:tcPr>
            <w:tcW w:w="879" w:type="dxa"/>
            <w:tcBorders>
              <w:top w:val="double" w:sz="4" w:space="0" w:color="auto"/>
              <w:left w:val="nil"/>
              <w:bottom w:val="single" w:sz="4" w:space="0" w:color="auto"/>
              <w:right w:val="double" w:sz="4" w:space="0" w:color="auto"/>
            </w:tcBorders>
            <w:noWrap/>
            <w:vAlign w:val="center"/>
          </w:tcPr>
          <w:p w:rsidR="009A5889" w:rsidRPr="00C363ED" w:rsidRDefault="009A5889" w:rsidP="0026477D">
            <w:pPr>
              <w:spacing w:after="0" w:line="40" w:lineRule="atLeast"/>
            </w:pPr>
            <w:r w:rsidRPr="00C363ED">
              <w:t>P-value</w:t>
            </w:r>
          </w:p>
        </w:tc>
      </w:tr>
      <w:tr w:rsidR="009A5889" w:rsidRPr="00C363ED">
        <w:trPr>
          <w:trHeight w:val="161"/>
          <w:jc w:val="center"/>
        </w:trPr>
        <w:tc>
          <w:tcPr>
            <w:tcW w:w="2467" w:type="dxa"/>
            <w:tcBorders>
              <w:top w:val="nil"/>
              <w:left w:val="double" w:sz="4" w:space="0" w:color="auto"/>
              <w:bottom w:val="single" w:sz="4" w:space="0" w:color="auto"/>
              <w:right w:val="single" w:sz="4" w:space="0" w:color="auto"/>
            </w:tcBorders>
            <w:noWrap/>
            <w:vAlign w:val="center"/>
          </w:tcPr>
          <w:p w:rsidR="009A5889" w:rsidRPr="00C363ED" w:rsidRDefault="009A5889" w:rsidP="0026477D">
            <w:pPr>
              <w:spacing w:after="0" w:line="40" w:lineRule="atLeast"/>
            </w:pPr>
            <w:r w:rsidRPr="00C363ED">
              <w:t>Height (cm)</w:t>
            </w:r>
          </w:p>
          <w:p w:rsidR="009A5889" w:rsidRPr="00C363ED" w:rsidRDefault="009A5889" w:rsidP="0026477D">
            <w:pPr>
              <w:spacing w:after="0" w:line="40" w:lineRule="atLeast"/>
            </w:pPr>
            <w:r w:rsidRPr="00C363ED">
              <w:t>before  zinc supp.</w:t>
            </w:r>
          </w:p>
        </w:tc>
        <w:tc>
          <w:tcPr>
            <w:tcW w:w="889"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114.15</w:t>
            </w:r>
          </w:p>
        </w:tc>
        <w:tc>
          <w:tcPr>
            <w:tcW w:w="300"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w:t>
            </w:r>
          </w:p>
        </w:tc>
        <w:tc>
          <w:tcPr>
            <w:tcW w:w="866" w:type="dxa"/>
            <w:tcBorders>
              <w:top w:val="nil"/>
              <w:left w:val="nil"/>
              <w:bottom w:val="single" w:sz="4" w:space="0" w:color="auto"/>
              <w:right w:val="single" w:sz="4" w:space="0" w:color="auto"/>
            </w:tcBorders>
            <w:noWrap/>
            <w:vAlign w:val="center"/>
          </w:tcPr>
          <w:p w:rsidR="009A5889" w:rsidRPr="00C363ED" w:rsidRDefault="009A5889" w:rsidP="0026477D">
            <w:pPr>
              <w:spacing w:after="0" w:line="40" w:lineRule="atLeast"/>
            </w:pPr>
            <w:r w:rsidRPr="00C363ED">
              <w:t xml:space="preserve">139.35 </w:t>
            </w:r>
          </w:p>
        </w:tc>
        <w:tc>
          <w:tcPr>
            <w:tcW w:w="889"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121.30</w:t>
            </w:r>
          </w:p>
        </w:tc>
        <w:tc>
          <w:tcPr>
            <w:tcW w:w="353"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w:t>
            </w:r>
          </w:p>
        </w:tc>
        <w:tc>
          <w:tcPr>
            <w:tcW w:w="866" w:type="dxa"/>
            <w:tcBorders>
              <w:top w:val="nil"/>
              <w:left w:val="nil"/>
              <w:bottom w:val="single" w:sz="4" w:space="0" w:color="auto"/>
              <w:right w:val="single" w:sz="4" w:space="0" w:color="auto"/>
            </w:tcBorders>
            <w:noWrap/>
            <w:vAlign w:val="center"/>
          </w:tcPr>
          <w:p w:rsidR="009A5889" w:rsidRPr="00C363ED" w:rsidRDefault="009A5889" w:rsidP="0026477D">
            <w:pPr>
              <w:spacing w:after="0" w:line="40" w:lineRule="atLeast"/>
            </w:pPr>
            <w:r w:rsidRPr="00C363ED">
              <w:t>12.64</w:t>
            </w:r>
          </w:p>
        </w:tc>
        <w:tc>
          <w:tcPr>
            <w:tcW w:w="1092" w:type="dxa"/>
            <w:vMerge w:val="restart"/>
            <w:tcBorders>
              <w:top w:val="nil"/>
              <w:left w:val="single" w:sz="4" w:space="0" w:color="auto"/>
              <w:bottom w:val="single" w:sz="4" w:space="0" w:color="auto"/>
              <w:right w:val="single" w:sz="4" w:space="0" w:color="auto"/>
            </w:tcBorders>
            <w:noWrap/>
            <w:vAlign w:val="center"/>
          </w:tcPr>
          <w:p w:rsidR="009A5889" w:rsidRPr="00C363ED" w:rsidRDefault="009A5889" w:rsidP="0026477D">
            <w:pPr>
              <w:spacing w:after="0" w:line="40" w:lineRule="atLeast"/>
            </w:pPr>
            <w:r w:rsidRPr="00C363ED">
              <w:t>-11.512</w:t>
            </w:r>
          </w:p>
        </w:tc>
        <w:tc>
          <w:tcPr>
            <w:tcW w:w="879" w:type="dxa"/>
            <w:vMerge w:val="restart"/>
            <w:tcBorders>
              <w:top w:val="nil"/>
              <w:left w:val="single" w:sz="4" w:space="0" w:color="auto"/>
              <w:bottom w:val="single" w:sz="4" w:space="0" w:color="auto"/>
              <w:right w:val="double" w:sz="4" w:space="0" w:color="auto"/>
            </w:tcBorders>
            <w:noWrap/>
            <w:vAlign w:val="center"/>
          </w:tcPr>
          <w:p w:rsidR="009A5889" w:rsidRPr="00C363ED" w:rsidRDefault="009A5889" w:rsidP="0026477D">
            <w:pPr>
              <w:spacing w:after="0" w:line="40" w:lineRule="atLeast"/>
            </w:pPr>
            <w:r w:rsidRPr="00C363ED">
              <w:t>&lt;0.001*</w:t>
            </w:r>
          </w:p>
        </w:tc>
      </w:tr>
      <w:tr w:rsidR="009A5889" w:rsidRPr="00C363ED">
        <w:trPr>
          <w:trHeight w:val="260"/>
          <w:jc w:val="center"/>
        </w:trPr>
        <w:tc>
          <w:tcPr>
            <w:tcW w:w="2467" w:type="dxa"/>
            <w:tcBorders>
              <w:top w:val="nil"/>
              <w:left w:val="double" w:sz="4" w:space="0" w:color="auto"/>
              <w:bottom w:val="single" w:sz="4" w:space="0" w:color="auto"/>
              <w:right w:val="single" w:sz="4" w:space="0" w:color="auto"/>
            </w:tcBorders>
            <w:noWrap/>
            <w:vAlign w:val="center"/>
          </w:tcPr>
          <w:p w:rsidR="009A5889" w:rsidRPr="00C363ED" w:rsidRDefault="009A5889" w:rsidP="0026477D">
            <w:pPr>
              <w:spacing w:after="0" w:line="40" w:lineRule="atLeast"/>
            </w:pPr>
            <w:r w:rsidRPr="00C363ED">
              <w:t>Height (cm)</w:t>
            </w:r>
          </w:p>
          <w:p w:rsidR="009A5889" w:rsidRPr="00C363ED" w:rsidRDefault="009A5889" w:rsidP="0026477D">
            <w:pPr>
              <w:spacing w:after="0" w:line="40" w:lineRule="atLeast"/>
            </w:pPr>
            <w:r w:rsidRPr="00C363ED">
              <w:t xml:space="preserve"> after  Zinc  supp.</w:t>
            </w:r>
          </w:p>
        </w:tc>
        <w:tc>
          <w:tcPr>
            <w:tcW w:w="889"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 xml:space="preserve">118.90 </w:t>
            </w:r>
          </w:p>
        </w:tc>
        <w:tc>
          <w:tcPr>
            <w:tcW w:w="300"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w:t>
            </w:r>
          </w:p>
        </w:tc>
        <w:tc>
          <w:tcPr>
            <w:tcW w:w="866" w:type="dxa"/>
            <w:tcBorders>
              <w:top w:val="nil"/>
              <w:left w:val="nil"/>
              <w:bottom w:val="single" w:sz="4" w:space="0" w:color="auto"/>
              <w:right w:val="single" w:sz="4" w:space="0" w:color="auto"/>
            </w:tcBorders>
            <w:noWrap/>
            <w:vAlign w:val="center"/>
          </w:tcPr>
          <w:p w:rsidR="009A5889" w:rsidRPr="00C363ED" w:rsidRDefault="009A5889" w:rsidP="0026477D">
            <w:pPr>
              <w:spacing w:after="0" w:line="40" w:lineRule="atLeast"/>
            </w:pPr>
            <w:r w:rsidRPr="00C363ED">
              <w:t>150.10</w:t>
            </w:r>
          </w:p>
        </w:tc>
        <w:tc>
          <w:tcPr>
            <w:tcW w:w="889"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128.80</w:t>
            </w:r>
          </w:p>
        </w:tc>
        <w:tc>
          <w:tcPr>
            <w:tcW w:w="353"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w:t>
            </w:r>
          </w:p>
        </w:tc>
        <w:tc>
          <w:tcPr>
            <w:tcW w:w="866" w:type="dxa"/>
            <w:tcBorders>
              <w:top w:val="nil"/>
              <w:left w:val="nil"/>
              <w:bottom w:val="single" w:sz="4" w:space="0" w:color="auto"/>
              <w:right w:val="single" w:sz="4" w:space="0" w:color="auto"/>
            </w:tcBorders>
            <w:noWrap/>
            <w:vAlign w:val="center"/>
          </w:tcPr>
          <w:p w:rsidR="009A5889" w:rsidRPr="00C363ED" w:rsidRDefault="009A5889" w:rsidP="0026477D">
            <w:pPr>
              <w:spacing w:after="0" w:line="40" w:lineRule="atLeast"/>
            </w:pPr>
            <w:r w:rsidRPr="00C363ED">
              <w:t>13.92</w:t>
            </w:r>
          </w:p>
        </w:tc>
        <w:tc>
          <w:tcPr>
            <w:tcW w:w="1092" w:type="dxa"/>
            <w:vMerge/>
            <w:tcBorders>
              <w:top w:val="nil"/>
              <w:left w:val="single" w:sz="4" w:space="0" w:color="auto"/>
              <w:bottom w:val="single" w:sz="4" w:space="0" w:color="auto"/>
              <w:right w:val="single" w:sz="4" w:space="0" w:color="auto"/>
            </w:tcBorders>
            <w:vAlign w:val="center"/>
          </w:tcPr>
          <w:p w:rsidR="009A5889" w:rsidRPr="00C363ED" w:rsidRDefault="009A5889" w:rsidP="0026477D">
            <w:pPr>
              <w:spacing w:after="0" w:line="40" w:lineRule="atLeast"/>
            </w:pPr>
          </w:p>
        </w:tc>
        <w:tc>
          <w:tcPr>
            <w:tcW w:w="879" w:type="dxa"/>
            <w:vMerge/>
            <w:tcBorders>
              <w:top w:val="nil"/>
              <w:left w:val="single" w:sz="4" w:space="0" w:color="auto"/>
              <w:bottom w:val="single" w:sz="4" w:space="0" w:color="auto"/>
              <w:right w:val="double" w:sz="4" w:space="0" w:color="auto"/>
            </w:tcBorders>
            <w:vAlign w:val="center"/>
          </w:tcPr>
          <w:p w:rsidR="009A5889" w:rsidRPr="00C363ED" w:rsidRDefault="009A5889" w:rsidP="0026477D">
            <w:pPr>
              <w:spacing w:after="0" w:line="40" w:lineRule="atLeast"/>
            </w:pPr>
          </w:p>
        </w:tc>
      </w:tr>
      <w:tr w:rsidR="009A5889" w:rsidRPr="00C363ED">
        <w:trPr>
          <w:trHeight w:val="260"/>
          <w:jc w:val="center"/>
        </w:trPr>
        <w:tc>
          <w:tcPr>
            <w:tcW w:w="2467" w:type="dxa"/>
            <w:tcBorders>
              <w:top w:val="nil"/>
              <w:left w:val="double" w:sz="4" w:space="0" w:color="auto"/>
              <w:bottom w:val="single" w:sz="4" w:space="0" w:color="auto"/>
              <w:right w:val="single" w:sz="4" w:space="0" w:color="auto"/>
            </w:tcBorders>
            <w:noWrap/>
            <w:vAlign w:val="center"/>
          </w:tcPr>
          <w:p w:rsidR="009A5889" w:rsidRPr="00C363ED" w:rsidRDefault="009A5889" w:rsidP="0026477D">
            <w:pPr>
              <w:spacing w:after="0" w:line="40" w:lineRule="atLeast"/>
            </w:pPr>
            <w:r w:rsidRPr="00C363ED">
              <w:t>Serum zinc(μg/dl)</w:t>
            </w:r>
          </w:p>
          <w:p w:rsidR="009A5889" w:rsidRPr="00C363ED" w:rsidRDefault="009A5889" w:rsidP="0026477D">
            <w:pPr>
              <w:spacing w:after="0" w:line="40" w:lineRule="atLeast"/>
            </w:pPr>
            <w:r w:rsidRPr="00C363ED">
              <w:t>before zinc  supp.</w:t>
            </w:r>
          </w:p>
        </w:tc>
        <w:tc>
          <w:tcPr>
            <w:tcW w:w="889"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52.000</w:t>
            </w:r>
          </w:p>
        </w:tc>
        <w:tc>
          <w:tcPr>
            <w:tcW w:w="300"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w:t>
            </w:r>
          </w:p>
        </w:tc>
        <w:tc>
          <w:tcPr>
            <w:tcW w:w="866" w:type="dxa"/>
            <w:tcBorders>
              <w:top w:val="nil"/>
              <w:left w:val="nil"/>
              <w:bottom w:val="single" w:sz="4" w:space="0" w:color="auto"/>
              <w:right w:val="single" w:sz="4" w:space="0" w:color="auto"/>
            </w:tcBorders>
            <w:noWrap/>
            <w:vAlign w:val="center"/>
          </w:tcPr>
          <w:p w:rsidR="009A5889" w:rsidRPr="00C363ED" w:rsidRDefault="009A5889" w:rsidP="0026477D">
            <w:pPr>
              <w:spacing w:after="0" w:line="40" w:lineRule="atLeast"/>
            </w:pPr>
            <w:r w:rsidRPr="00C363ED">
              <w:t>86.000</w:t>
            </w:r>
          </w:p>
        </w:tc>
        <w:tc>
          <w:tcPr>
            <w:tcW w:w="889"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67.925</w:t>
            </w:r>
          </w:p>
        </w:tc>
        <w:tc>
          <w:tcPr>
            <w:tcW w:w="353"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w:t>
            </w:r>
          </w:p>
        </w:tc>
        <w:tc>
          <w:tcPr>
            <w:tcW w:w="866" w:type="dxa"/>
            <w:tcBorders>
              <w:top w:val="nil"/>
              <w:left w:val="nil"/>
              <w:bottom w:val="single" w:sz="4" w:space="0" w:color="auto"/>
              <w:right w:val="single" w:sz="4" w:space="0" w:color="auto"/>
            </w:tcBorders>
            <w:noWrap/>
            <w:vAlign w:val="center"/>
          </w:tcPr>
          <w:p w:rsidR="009A5889" w:rsidRPr="00C363ED" w:rsidRDefault="009A5889" w:rsidP="0026477D">
            <w:pPr>
              <w:spacing w:after="0" w:line="40" w:lineRule="atLeast"/>
            </w:pPr>
            <w:r w:rsidRPr="00C363ED">
              <w:t>6.896</w:t>
            </w:r>
          </w:p>
        </w:tc>
        <w:tc>
          <w:tcPr>
            <w:tcW w:w="1092" w:type="dxa"/>
            <w:vMerge w:val="restart"/>
            <w:tcBorders>
              <w:top w:val="nil"/>
              <w:left w:val="single" w:sz="4" w:space="0" w:color="auto"/>
              <w:right w:val="single" w:sz="4" w:space="0" w:color="auto"/>
            </w:tcBorders>
            <w:vAlign w:val="center"/>
          </w:tcPr>
          <w:p w:rsidR="009A5889" w:rsidRPr="00C363ED" w:rsidRDefault="009A5889" w:rsidP="0026477D">
            <w:pPr>
              <w:spacing w:after="0" w:line="40" w:lineRule="atLeast"/>
            </w:pPr>
            <w:r w:rsidRPr="00C363ED">
              <w:t>-6.325</w:t>
            </w:r>
          </w:p>
        </w:tc>
        <w:tc>
          <w:tcPr>
            <w:tcW w:w="879" w:type="dxa"/>
            <w:vMerge w:val="restart"/>
            <w:tcBorders>
              <w:top w:val="nil"/>
              <w:left w:val="single" w:sz="4" w:space="0" w:color="auto"/>
              <w:right w:val="double" w:sz="4" w:space="0" w:color="auto"/>
            </w:tcBorders>
            <w:vAlign w:val="center"/>
          </w:tcPr>
          <w:p w:rsidR="009A5889" w:rsidRPr="00C363ED" w:rsidRDefault="009A5889" w:rsidP="0026477D">
            <w:pPr>
              <w:spacing w:after="0" w:line="40" w:lineRule="atLeast"/>
            </w:pPr>
            <w:r w:rsidRPr="00C363ED">
              <w:t>&lt;0.001*</w:t>
            </w:r>
          </w:p>
        </w:tc>
      </w:tr>
      <w:tr w:rsidR="009A5889" w:rsidRPr="00C363ED">
        <w:trPr>
          <w:trHeight w:val="260"/>
          <w:jc w:val="center"/>
        </w:trPr>
        <w:tc>
          <w:tcPr>
            <w:tcW w:w="2467" w:type="dxa"/>
            <w:tcBorders>
              <w:top w:val="nil"/>
              <w:left w:val="double" w:sz="4" w:space="0" w:color="auto"/>
              <w:bottom w:val="single" w:sz="4" w:space="0" w:color="auto"/>
              <w:right w:val="single" w:sz="4" w:space="0" w:color="auto"/>
            </w:tcBorders>
            <w:noWrap/>
            <w:vAlign w:val="center"/>
          </w:tcPr>
          <w:p w:rsidR="009A5889" w:rsidRPr="00C363ED" w:rsidRDefault="009A5889" w:rsidP="0026477D">
            <w:pPr>
              <w:spacing w:after="0" w:line="40" w:lineRule="atLeast"/>
            </w:pPr>
            <w:r w:rsidRPr="00C363ED">
              <w:t>Serum zinc(μg/dl)</w:t>
            </w:r>
          </w:p>
          <w:p w:rsidR="009A5889" w:rsidRPr="00C363ED" w:rsidRDefault="009A5889" w:rsidP="0026477D">
            <w:pPr>
              <w:spacing w:after="0" w:line="40" w:lineRule="atLeast"/>
            </w:pPr>
            <w:r w:rsidRPr="00C363ED">
              <w:t xml:space="preserve"> after zinc supp.</w:t>
            </w:r>
          </w:p>
        </w:tc>
        <w:tc>
          <w:tcPr>
            <w:tcW w:w="889"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56.000</w:t>
            </w:r>
          </w:p>
        </w:tc>
        <w:tc>
          <w:tcPr>
            <w:tcW w:w="300"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w:t>
            </w:r>
          </w:p>
        </w:tc>
        <w:tc>
          <w:tcPr>
            <w:tcW w:w="866" w:type="dxa"/>
            <w:tcBorders>
              <w:top w:val="nil"/>
              <w:left w:val="nil"/>
              <w:bottom w:val="single" w:sz="4" w:space="0" w:color="auto"/>
              <w:right w:val="single" w:sz="4" w:space="0" w:color="auto"/>
            </w:tcBorders>
            <w:noWrap/>
            <w:vAlign w:val="center"/>
          </w:tcPr>
          <w:p w:rsidR="009A5889" w:rsidRPr="00C363ED" w:rsidRDefault="009A5889" w:rsidP="0026477D">
            <w:pPr>
              <w:spacing w:after="0" w:line="40" w:lineRule="atLeast"/>
            </w:pPr>
            <w:r w:rsidRPr="00C363ED">
              <w:t>81.000</w:t>
            </w:r>
          </w:p>
        </w:tc>
        <w:tc>
          <w:tcPr>
            <w:tcW w:w="889"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70.250</w:t>
            </w:r>
          </w:p>
        </w:tc>
        <w:tc>
          <w:tcPr>
            <w:tcW w:w="353"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w:t>
            </w:r>
          </w:p>
        </w:tc>
        <w:tc>
          <w:tcPr>
            <w:tcW w:w="866" w:type="dxa"/>
            <w:tcBorders>
              <w:top w:val="nil"/>
              <w:left w:val="nil"/>
              <w:bottom w:val="single" w:sz="4" w:space="0" w:color="auto"/>
              <w:right w:val="single" w:sz="4" w:space="0" w:color="auto"/>
            </w:tcBorders>
            <w:noWrap/>
            <w:vAlign w:val="center"/>
          </w:tcPr>
          <w:p w:rsidR="009A5889" w:rsidRPr="00C363ED" w:rsidRDefault="009A5889" w:rsidP="0026477D">
            <w:pPr>
              <w:spacing w:after="0" w:line="40" w:lineRule="atLeast"/>
            </w:pPr>
            <w:r w:rsidRPr="00C363ED">
              <w:t>6.348</w:t>
            </w:r>
          </w:p>
        </w:tc>
        <w:tc>
          <w:tcPr>
            <w:tcW w:w="1092" w:type="dxa"/>
            <w:vMerge/>
            <w:tcBorders>
              <w:left w:val="single" w:sz="4" w:space="0" w:color="auto"/>
              <w:bottom w:val="single" w:sz="4" w:space="0" w:color="auto"/>
              <w:right w:val="single" w:sz="4" w:space="0" w:color="auto"/>
            </w:tcBorders>
            <w:vAlign w:val="center"/>
          </w:tcPr>
          <w:p w:rsidR="009A5889" w:rsidRPr="00C363ED" w:rsidRDefault="009A5889" w:rsidP="0026477D">
            <w:pPr>
              <w:spacing w:after="0" w:line="40" w:lineRule="atLeast"/>
            </w:pPr>
          </w:p>
        </w:tc>
        <w:tc>
          <w:tcPr>
            <w:tcW w:w="879" w:type="dxa"/>
            <w:vMerge/>
            <w:tcBorders>
              <w:left w:val="single" w:sz="4" w:space="0" w:color="auto"/>
              <w:bottom w:val="single" w:sz="4" w:space="0" w:color="auto"/>
              <w:right w:val="double" w:sz="4" w:space="0" w:color="auto"/>
            </w:tcBorders>
            <w:vAlign w:val="center"/>
          </w:tcPr>
          <w:p w:rsidR="009A5889" w:rsidRPr="00C363ED" w:rsidRDefault="009A5889" w:rsidP="0026477D">
            <w:pPr>
              <w:spacing w:after="0" w:line="40" w:lineRule="atLeast"/>
            </w:pPr>
          </w:p>
        </w:tc>
      </w:tr>
      <w:tr w:rsidR="009A5889" w:rsidRPr="00C363ED">
        <w:trPr>
          <w:trHeight w:val="161"/>
          <w:jc w:val="center"/>
        </w:trPr>
        <w:tc>
          <w:tcPr>
            <w:tcW w:w="2467" w:type="dxa"/>
            <w:tcBorders>
              <w:top w:val="nil"/>
              <w:left w:val="double" w:sz="4" w:space="0" w:color="auto"/>
              <w:bottom w:val="single" w:sz="4" w:space="0" w:color="auto"/>
              <w:right w:val="single" w:sz="4" w:space="0" w:color="auto"/>
            </w:tcBorders>
            <w:noWrap/>
            <w:vAlign w:val="center"/>
          </w:tcPr>
          <w:p w:rsidR="009A5889" w:rsidRPr="00C363ED" w:rsidRDefault="009A5889" w:rsidP="0026477D">
            <w:pPr>
              <w:spacing w:after="0" w:line="40" w:lineRule="atLeast"/>
            </w:pPr>
            <w:r w:rsidRPr="00C363ED">
              <w:t>BMD Z-Score (SD)</w:t>
            </w:r>
          </w:p>
          <w:p w:rsidR="009A5889" w:rsidRPr="00C363ED" w:rsidRDefault="009A5889" w:rsidP="0026477D">
            <w:pPr>
              <w:spacing w:after="0" w:line="40" w:lineRule="atLeast"/>
            </w:pPr>
            <w:r w:rsidRPr="00C363ED">
              <w:t xml:space="preserve"> before  zinc supp.</w:t>
            </w:r>
          </w:p>
        </w:tc>
        <w:tc>
          <w:tcPr>
            <w:tcW w:w="889"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-3.900</w:t>
            </w:r>
          </w:p>
        </w:tc>
        <w:tc>
          <w:tcPr>
            <w:tcW w:w="300"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w:t>
            </w:r>
          </w:p>
        </w:tc>
        <w:tc>
          <w:tcPr>
            <w:tcW w:w="866" w:type="dxa"/>
            <w:tcBorders>
              <w:top w:val="nil"/>
              <w:left w:val="nil"/>
              <w:bottom w:val="single" w:sz="4" w:space="0" w:color="auto"/>
              <w:right w:val="single" w:sz="4" w:space="0" w:color="auto"/>
            </w:tcBorders>
            <w:noWrap/>
            <w:vAlign w:val="center"/>
          </w:tcPr>
          <w:p w:rsidR="009A5889" w:rsidRPr="00C363ED" w:rsidRDefault="009A5889" w:rsidP="0026477D">
            <w:pPr>
              <w:spacing w:after="0" w:line="40" w:lineRule="atLeast"/>
            </w:pPr>
            <w:r w:rsidRPr="00C363ED">
              <w:t>-2.600</w:t>
            </w:r>
          </w:p>
        </w:tc>
        <w:tc>
          <w:tcPr>
            <w:tcW w:w="889"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-3.008</w:t>
            </w:r>
          </w:p>
        </w:tc>
        <w:tc>
          <w:tcPr>
            <w:tcW w:w="353"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w:t>
            </w:r>
          </w:p>
        </w:tc>
        <w:tc>
          <w:tcPr>
            <w:tcW w:w="866" w:type="dxa"/>
            <w:tcBorders>
              <w:top w:val="nil"/>
              <w:left w:val="nil"/>
              <w:bottom w:val="single" w:sz="4" w:space="0" w:color="auto"/>
              <w:right w:val="single" w:sz="4" w:space="0" w:color="auto"/>
            </w:tcBorders>
            <w:noWrap/>
            <w:vAlign w:val="center"/>
          </w:tcPr>
          <w:p w:rsidR="009A5889" w:rsidRPr="00C363ED" w:rsidRDefault="009A5889" w:rsidP="0026477D">
            <w:pPr>
              <w:spacing w:after="0" w:line="40" w:lineRule="atLeast"/>
            </w:pPr>
            <w:r w:rsidRPr="00C363ED">
              <w:t>0.410</w:t>
            </w:r>
          </w:p>
        </w:tc>
        <w:tc>
          <w:tcPr>
            <w:tcW w:w="1092" w:type="dxa"/>
            <w:vMerge w:val="restart"/>
            <w:tcBorders>
              <w:top w:val="nil"/>
              <w:left w:val="single" w:sz="4" w:space="0" w:color="auto"/>
              <w:bottom w:val="single" w:sz="4" w:space="0" w:color="auto"/>
              <w:right w:val="single" w:sz="4" w:space="0" w:color="auto"/>
            </w:tcBorders>
            <w:noWrap/>
            <w:vAlign w:val="center"/>
          </w:tcPr>
          <w:p w:rsidR="009A5889" w:rsidRPr="00C363ED" w:rsidRDefault="009A5889" w:rsidP="0026477D">
            <w:pPr>
              <w:spacing w:after="0" w:line="40" w:lineRule="atLeast"/>
            </w:pPr>
            <w:r w:rsidRPr="00C363ED">
              <w:t>-15.981</w:t>
            </w:r>
          </w:p>
        </w:tc>
        <w:tc>
          <w:tcPr>
            <w:tcW w:w="879" w:type="dxa"/>
            <w:vMerge w:val="restart"/>
            <w:tcBorders>
              <w:top w:val="nil"/>
              <w:left w:val="single" w:sz="4" w:space="0" w:color="auto"/>
              <w:bottom w:val="single" w:sz="4" w:space="0" w:color="auto"/>
              <w:right w:val="double" w:sz="4" w:space="0" w:color="auto"/>
            </w:tcBorders>
            <w:noWrap/>
            <w:vAlign w:val="center"/>
          </w:tcPr>
          <w:p w:rsidR="009A5889" w:rsidRPr="00C363ED" w:rsidRDefault="009A5889" w:rsidP="0026477D">
            <w:pPr>
              <w:spacing w:after="0" w:line="40" w:lineRule="atLeast"/>
            </w:pPr>
            <w:r w:rsidRPr="00C363ED">
              <w:t>&lt;0.001*</w:t>
            </w:r>
          </w:p>
        </w:tc>
      </w:tr>
      <w:tr w:rsidR="009A5889" w:rsidRPr="00C363ED">
        <w:trPr>
          <w:trHeight w:val="161"/>
          <w:jc w:val="center"/>
        </w:trPr>
        <w:tc>
          <w:tcPr>
            <w:tcW w:w="2467" w:type="dxa"/>
            <w:tcBorders>
              <w:top w:val="nil"/>
              <w:left w:val="double" w:sz="4" w:space="0" w:color="auto"/>
              <w:bottom w:val="single" w:sz="4" w:space="0" w:color="auto"/>
              <w:right w:val="single" w:sz="4" w:space="0" w:color="auto"/>
            </w:tcBorders>
            <w:noWrap/>
            <w:vAlign w:val="center"/>
          </w:tcPr>
          <w:p w:rsidR="009A5889" w:rsidRPr="00C363ED" w:rsidRDefault="009A5889" w:rsidP="0026477D">
            <w:pPr>
              <w:spacing w:after="0" w:line="40" w:lineRule="atLeast"/>
            </w:pPr>
            <w:r w:rsidRPr="00C363ED">
              <w:t>BMD Z-Score (SD)</w:t>
            </w:r>
          </w:p>
          <w:p w:rsidR="009A5889" w:rsidRPr="00C363ED" w:rsidRDefault="009A5889" w:rsidP="0026477D">
            <w:pPr>
              <w:spacing w:after="0" w:line="40" w:lineRule="atLeast"/>
            </w:pPr>
            <w:r w:rsidRPr="00C363ED">
              <w:t xml:space="preserve"> after zinc  supp.</w:t>
            </w:r>
          </w:p>
        </w:tc>
        <w:tc>
          <w:tcPr>
            <w:tcW w:w="889"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-3.700</w:t>
            </w:r>
          </w:p>
        </w:tc>
        <w:tc>
          <w:tcPr>
            <w:tcW w:w="300"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w:t>
            </w:r>
          </w:p>
        </w:tc>
        <w:tc>
          <w:tcPr>
            <w:tcW w:w="866" w:type="dxa"/>
            <w:tcBorders>
              <w:top w:val="nil"/>
              <w:left w:val="nil"/>
              <w:bottom w:val="single" w:sz="4" w:space="0" w:color="auto"/>
              <w:right w:val="single" w:sz="4" w:space="0" w:color="auto"/>
            </w:tcBorders>
            <w:noWrap/>
            <w:vAlign w:val="center"/>
          </w:tcPr>
          <w:p w:rsidR="009A5889" w:rsidRPr="00C363ED" w:rsidRDefault="009A5889" w:rsidP="0026477D">
            <w:pPr>
              <w:spacing w:after="0" w:line="40" w:lineRule="atLeast"/>
            </w:pPr>
            <w:r w:rsidRPr="00C363ED">
              <w:t>-1.800</w:t>
            </w:r>
          </w:p>
        </w:tc>
        <w:tc>
          <w:tcPr>
            <w:tcW w:w="889"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-2.465</w:t>
            </w:r>
          </w:p>
        </w:tc>
        <w:tc>
          <w:tcPr>
            <w:tcW w:w="353"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w:t>
            </w:r>
          </w:p>
        </w:tc>
        <w:tc>
          <w:tcPr>
            <w:tcW w:w="866" w:type="dxa"/>
            <w:tcBorders>
              <w:top w:val="nil"/>
              <w:left w:val="nil"/>
              <w:bottom w:val="single" w:sz="4" w:space="0" w:color="auto"/>
              <w:right w:val="single" w:sz="4" w:space="0" w:color="auto"/>
            </w:tcBorders>
            <w:noWrap/>
            <w:vAlign w:val="center"/>
          </w:tcPr>
          <w:p w:rsidR="009A5889" w:rsidRPr="00C363ED" w:rsidRDefault="009A5889" w:rsidP="0026477D">
            <w:pPr>
              <w:spacing w:after="0" w:line="40" w:lineRule="atLeast"/>
            </w:pPr>
            <w:r w:rsidRPr="00C363ED">
              <w:t>0.496</w:t>
            </w:r>
          </w:p>
        </w:tc>
        <w:tc>
          <w:tcPr>
            <w:tcW w:w="1092" w:type="dxa"/>
            <w:vMerge/>
            <w:tcBorders>
              <w:top w:val="nil"/>
              <w:left w:val="single" w:sz="4" w:space="0" w:color="auto"/>
              <w:bottom w:val="single" w:sz="4" w:space="0" w:color="auto"/>
              <w:right w:val="single" w:sz="4" w:space="0" w:color="auto"/>
            </w:tcBorders>
            <w:vAlign w:val="center"/>
          </w:tcPr>
          <w:p w:rsidR="009A5889" w:rsidRPr="00C363ED" w:rsidRDefault="009A5889" w:rsidP="0026477D">
            <w:pPr>
              <w:spacing w:after="0" w:line="40" w:lineRule="atLeast"/>
            </w:pPr>
          </w:p>
        </w:tc>
        <w:tc>
          <w:tcPr>
            <w:tcW w:w="879" w:type="dxa"/>
            <w:vMerge/>
            <w:tcBorders>
              <w:top w:val="nil"/>
              <w:left w:val="single" w:sz="4" w:space="0" w:color="auto"/>
              <w:bottom w:val="single" w:sz="4" w:space="0" w:color="auto"/>
              <w:right w:val="double" w:sz="4" w:space="0" w:color="auto"/>
            </w:tcBorders>
            <w:vAlign w:val="center"/>
          </w:tcPr>
          <w:p w:rsidR="009A5889" w:rsidRPr="00C363ED" w:rsidRDefault="009A5889" w:rsidP="0026477D">
            <w:pPr>
              <w:spacing w:after="0" w:line="40" w:lineRule="atLeast"/>
            </w:pPr>
          </w:p>
        </w:tc>
      </w:tr>
    </w:tbl>
    <w:p w:rsidR="009A5889" w:rsidRPr="00C363ED" w:rsidRDefault="009A5889" w:rsidP="0026477D">
      <w:pPr>
        <w:spacing w:after="0" w:line="360" w:lineRule="auto"/>
        <w:ind w:firstLine="425"/>
        <w:jc w:val="both"/>
      </w:pPr>
    </w:p>
    <w:p w:rsidR="009A5889" w:rsidRPr="00C363ED" w:rsidRDefault="009A5889" w:rsidP="0026477D">
      <w:pPr>
        <w:spacing w:after="0" w:line="360" w:lineRule="auto"/>
        <w:ind w:firstLine="425"/>
        <w:jc w:val="both"/>
      </w:pPr>
      <w:r w:rsidRPr="00C363ED">
        <w:t>There was statistically significant difference when mean serum zinc level, mean height and mean BMD Z-score were measured before, and after zinc supplementation for 12 months (P value &lt;0.001)</w:t>
      </w:r>
    </w:p>
    <w:p w:rsidR="009A5889" w:rsidRPr="00C363ED" w:rsidRDefault="009A5889" w:rsidP="0026477D">
      <w:pPr>
        <w:spacing w:after="0" w:line="360" w:lineRule="auto"/>
        <w:ind w:firstLine="425"/>
        <w:jc w:val="both"/>
      </w:pPr>
      <w:r w:rsidRPr="00C363ED">
        <w:t>Before zinc was provided, the height ranged between 114.15 and 139.35cm (mean 121.30±12.64 cm). After zinc was given for one year, the height ranged between 118.90 and 150.10 (mean 128.80 ± 13.92 cm) .</w:t>
      </w:r>
    </w:p>
    <w:p w:rsidR="009A5889" w:rsidRPr="00C363ED" w:rsidRDefault="009A5889" w:rsidP="0026477D">
      <w:pPr>
        <w:spacing w:after="0" w:line="360" w:lineRule="auto"/>
        <w:ind w:firstLine="425"/>
        <w:jc w:val="both"/>
      </w:pPr>
      <w:r w:rsidRPr="00C363ED">
        <w:t>Serum zinc level was measured prior to zinc supplementation.Serum zinc level ranged between 52μg/dl and 86μg/dl (mean 67.925 ± 6.896 μg/dl). Serum zinc was measured after zinc supplementation for one year. Serum zinc level ranged between 56 μg /dl and 81μg/dl (mean 70.250 ± 6.348 μg/dl).</w:t>
      </w:r>
    </w:p>
    <w:p w:rsidR="009A5889" w:rsidRPr="00C363ED" w:rsidRDefault="009A5889" w:rsidP="0026477D">
      <w:pPr>
        <w:spacing w:after="0" w:line="360" w:lineRule="auto"/>
        <w:ind w:firstLine="425"/>
        <w:jc w:val="both"/>
      </w:pPr>
      <w:r w:rsidRPr="00C363ED">
        <w:t>Before zinc supplementation BMD Z- score for the patients in the study sample ranged between -3.9 and -2.6 (mean -3.008 ± 0.410). After zinc was supplemented for one year, Z-score ranged between -3.7 and -1.8 (mean -2.465 ± 0.496).</w:t>
      </w:r>
    </w:p>
    <w:p w:rsidR="009A5889" w:rsidRPr="00C363ED" w:rsidRDefault="009A5889" w:rsidP="0026477D">
      <w:pPr>
        <w:spacing w:after="0" w:line="360" w:lineRule="auto"/>
        <w:ind w:firstLine="425"/>
        <w:jc w:val="both"/>
      </w:pPr>
      <w:r w:rsidRPr="00C363ED">
        <w:t>Table (5):Comparison of height, serum zinc level, and BMD Z-scoring, before and after zinc supplementation in both males and females.</w:t>
      </w:r>
    </w:p>
    <w:p w:rsidR="009A5889" w:rsidRPr="00C363ED" w:rsidRDefault="009A5889" w:rsidP="0026477D">
      <w:pPr>
        <w:spacing w:after="0" w:line="360" w:lineRule="auto"/>
        <w:ind w:firstLine="425"/>
        <w:jc w:val="both"/>
        <w:rPr>
          <w:rtl/>
        </w:rPr>
      </w:pPr>
    </w:p>
    <w:tbl>
      <w:tblPr>
        <w:tblW w:w="10204" w:type="dxa"/>
        <w:jc w:val="center"/>
        <w:tblLook w:val="0000"/>
      </w:tblPr>
      <w:tblGrid>
        <w:gridCol w:w="3450"/>
        <w:gridCol w:w="1015"/>
        <w:gridCol w:w="358"/>
        <w:gridCol w:w="1015"/>
        <w:gridCol w:w="1015"/>
        <w:gridCol w:w="358"/>
        <w:gridCol w:w="1017"/>
        <w:gridCol w:w="883"/>
        <w:gridCol w:w="1093"/>
      </w:tblGrid>
      <w:tr w:rsidR="009A5889" w:rsidRPr="00C363ED">
        <w:trPr>
          <w:trHeight w:val="315"/>
          <w:jc w:val="center"/>
        </w:trPr>
        <w:tc>
          <w:tcPr>
            <w:tcW w:w="3350" w:type="dxa"/>
            <w:vMerge w:val="restart"/>
            <w:tcBorders>
              <w:top w:val="double" w:sz="4" w:space="0" w:color="auto"/>
              <w:left w:val="double" w:sz="4" w:space="0" w:color="auto"/>
              <w:bottom w:val="double" w:sz="4" w:space="0" w:color="auto"/>
              <w:right w:val="double" w:sz="4" w:space="0" w:color="auto"/>
            </w:tcBorders>
            <w:noWrap/>
            <w:vAlign w:val="center"/>
          </w:tcPr>
          <w:p w:rsidR="009A5889" w:rsidRPr="00C363ED" w:rsidRDefault="009A5889" w:rsidP="0026477D">
            <w:pPr>
              <w:spacing w:after="0" w:line="40" w:lineRule="atLeast"/>
            </w:pPr>
            <w:r w:rsidRPr="00C363ED">
              <w:t> </w:t>
            </w:r>
          </w:p>
        </w:tc>
        <w:tc>
          <w:tcPr>
            <w:tcW w:w="4642" w:type="dxa"/>
            <w:gridSpan w:val="6"/>
            <w:tcBorders>
              <w:top w:val="double" w:sz="4" w:space="0" w:color="auto"/>
              <w:left w:val="double" w:sz="4" w:space="0" w:color="auto"/>
              <w:bottom w:val="double" w:sz="4" w:space="0" w:color="auto"/>
              <w:right w:val="double" w:sz="4" w:space="0" w:color="auto"/>
            </w:tcBorders>
            <w:noWrap/>
            <w:vAlign w:val="center"/>
          </w:tcPr>
          <w:p w:rsidR="009A5889" w:rsidRPr="00C363ED" w:rsidRDefault="009A5889" w:rsidP="0026477D">
            <w:pPr>
              <w:spacing w:after="0" w:line="40" w:lineRule="atLeast"/>
            </w:pPr>
            <w:r w:rsidRPr="00C363ED">
              <w:t>Gender</w:t>
            </w:r>
          </w:p>
        </w:tc>
        <w:tc>
          <w:tcPr>
            <w:tcW w:w="1920" w:type="dxa"/>
            <w:gridSpan w:val="2"/>
            <w:vMerge w:val="restart"/>
            <w:tcBorders>
              <w:top w:val="double" w:sz="4" w:space="0" w:color="auto"/>
              <w:left w:val="double" w:sz="4" w:space="0" w:color="auto"/>
              <w:bottom w:val="double" w:sz="4" w:space="0" w:color="auto"/>
              <w:right w:val="double" w:sz="4" w:space="0" w:color="auto"/>
            </w:tcBorders>
            <w:noWrap/>
            <w:vAlign w:val="center"/>
          </w:tcPr>
          <w:p w:rsidR="009A5889" w:rsidRPr="00C363ED" w:rsidRDefault="009A5889" w:rsidP="0026477D">
            <w:pPr>
              <w:spacing w:after="0" w:line="40" w:lineRule="atLeast"/>
            </w:pPr>
            <w:r w:rsidRPr="00C363ED">
              <w:t>t-Test</w:t>
            </w:r>
          </w:p>
        </w:tc>
      </w:tr>
      <w:tr w:rsidR="009A5889" w:rsidRPr="00C363ED">
        <w:trPr>
          <w:trHeight w:val="315"/>
          <w:jc w:val="center"/>
        </w:trPr>
        <w:tc>
          <w:tcPr>
            <w:tcW w:w="3350" w:type="dxa"/>
            <w:vMerge/>
            <w:tcBorders>
              <w:top w:val="single" w:sz="4" w:space="0" w:color="auto"/>
              <w:left w:val="double" w:sz="4" w:space="0" w:color="auto"/>
              <w:bottom w:val="double" w:sz="4" w:space="0" w:color="auto"/>
              <w:right w:val="double" w:sz="4" w:space="0" w:color="auto"/>
            </w:tcBorders>
            <w:vAlign w:val="center"/>
          </w:tcPr>
          <w:p w:rsidR="009A5889" w:rsidRPr="00C363ED" w:rsidRDefault="009A5889" w:rsidP="0026477D">
            <w:pPr>
              <w:spacing w:after="0" w:line="40" w:lineRule="atLeast"/>
            </w:pPr>
          </w:p>
        </w:tc>
        <w:tc>
          <w:tcPr>
            <w:tcW w:w="2320" w:type="dxa"/>
            <w:gridSpan w:val="3"/>
            <w:tcBorders>
              <w:top w:val="double" w:sz="4" w:space="0" w:color="auto"/>
              <w:left w:val="double" w:sz="4" w:space="0" w:color="auto"/>
              <w:bottom w:val="single" w:sz="4" w:space="0" w:color="auto"/>
              <w:right w:val="single" w:sz="4" w:space="0" w:color="auto"/>
            </w:tcBorders>
            <w:noWrap/>
            <w:vAlign w:val="center"/>
          </w:tcPr>
          <w:p w:rsidR="009A5889" w:rsidRPr="00C363ED" w:rsidRDefault="009A5889" w:rsidP="0026477D">
            <w:pPr>
              <w:spacing w:after="0" w:line="40" w:lineRule="atLeast"/>
            </w:pPr>
            <w:r w:rsidRPr="00C363ED">
              <w:t>Female</w:t>
            </w:r>
          </w:p>
        </w:tc>
        <w:tc>
          <w:tcPr>
            <w:tcW w:w="2322" w:type="dxa"/>
            <w:gridSpan w:val="3"/>
            <w:tcBorders>
              <w:top w:val="double" w:sz="4" w:space="0" w:color="auto"/>
              <w:left w:val="nil"/>
              <w:bottom w:val="single" w:sz="4" w:space="0" w:color="auto"/>
              <w:right w:val="double" w:sz="4" w:space="0" w:color="auto"/>
            </w:tcBorders>
            <w:noWrap/>
            <w:vAlign w:val="center"/>
          </w:tcPr>
          <w:p w:rsidR="009A5889" w:rsidRPr="00C363ED" w:rsidRDefault="009A5889" w:rsidP="0026477D">
            <w:pPr>
              <w:spacing w:after="0" w:line="40" w:lineRule="atLeast"/>
            </w:pPr>
            <w:r w:rsidRPr="00C363ED">
              <w:t>Male</w:t>
            </w:r>
          </w:p>
        </w:tc>
        <w:tc>
          <w:tcPr>
            <w:tcW w:w="1920" w:type="dxa"/>
            <w:gridSpan w:val="2"/>
            <w:vMerge/>
            <w:tcBorders>
              <w:top w:val="single" w:sz="4" w:space="0" w:color="auto"/>
              <w:left w:val="double" w:sz="4" w:space="0" w:color="auto"/>
              <w:bottom w:val="double" w:sz="4" w:space="0" w:color="auto"/>
              <w:right w:val="double" w:sz="4" w:space="0" w:color="auto"/>
            </w:tcBorders>
            <w:vAlign w:val="center"/>
          </w:tcPr>
          <w:p w:rsidR="009A5889" w:rsidRPr="00C363ED" w:rsidRDefault="009A5889" w:rsidP="0026477D">
            <w:pPr>
              <w:spacing w:after="0" w:line="40" w:lineRule="atLeast"/>
            </w:pPr>
          </w:p>
        </w:tc>
      </w:tr>
      <w:tr w:rsidR="009A5889" w:rsidRPr="00C363ED">
        <w:trPr>
          <w:trHeight w:val="315"/>
          <w:jc w:val="center"/>
        </w:trPr>
        <w:tc>
          <w:tcPr>
            <w:tcW w:w="3350" w:type="dxa"/>
            <w:vMerge/>
            <w:tcBorders>
              <w:top w:val="single" w:sz="4" w:space="0" w:color="auto"/>
              <w:left w:val="double" w:sz="4" w:space="0" w:color="auto"/>
              <w:bottom w:val="double" w:sz="4" w:space="0" w:color="auto"/>
              <w:right w:val="double" w:sz="4" w:space="0" w:color="auto"/>
            </w:tcBorders>
            <w:vAlign w:val="center"/>
          </w:tcPr>
          <w:p w:rsidR="009A5889" w:rsidRPr="00C363ED" w:rsidRDefault="009A5889" w:rsidP="0026477D">
            <w:pPr>
              <w:spacing w:after="0" w:line="40" w:lineRule="atLeast"/>
            </w:pPr>
          </w:p>
        </w:tc>
        <w:tc>
          <w:tcPr>
            <w:tcW w:w="986" w:type="dxa"/>
            <w:tcBorders>
              <w:top w:val="nil"/>
              <w:left w:val="double" w:sz="4" w:space="0" w:color="auto"/>
              <w:bottom w:val="single" w:sz="4" w:space="0" w:color="auto"/>
              <w:right w:val="nil"/>
            </w:tcBorders>
            <w:noWrap/>
            <w:vAlign w:val="center"/>
          </w:tcPr>
          <w:p w:rsidR="009A5889" w:rsidRPr="00C363ED" w:rsidRDefault="009A5889" w:rsidP="0026477D">
            <w:pPr>
              <w:spacing w:after="0" w:line="40" w:lineRule="atLeast"/>
            </w:pPr>
            <w:r w:rsidRPr="00C363ED">
              <w:t>Mean</w:t>
            </w:r>
          </w:p>
        </w:tc>
        <w:tc>
          <w:tcPr>
            <w:tcW w:w="348"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w:t>
            </w:r>
          </w:p>
        </w:tc>
        <w:tc>
          <w:tcPr>
            <w:tcW w:w="986" w:type="dxa"/>
            <w:tcBorders>
              <w:top w:val="nil"/>
              <w:left w:val="nil"/>
              <w:bottom w:val="single" w:sz="4" w:space="0" w:color="auto"/>
              <w:right w:val="single" w:sz="4" w:space="0" w:color="auto"/>
            </w:tcBorders>
            <w:noWrap/>
            <w:vAlign w:val="center"/>
          </w:tcPr>
          <w:p w:rsidR="009A5889" w:rsidRPr="00C363ED" w:rsidRDefault="009A5889" w:rsidP="0026477D">
            <w:pPr>
              <w:spacing w:after="0" w:line="40" w:lineRule="atLeast"/>
            </w:pPr>
            <w:r w:rsidRPr="00C363ED">
              <w:t>SD</w:t>
            </w:r>
          </w:p>
        </w:tc>
        <w:tc>
          <w:tcPr>
            <w:tcW w:w="986"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Mean</w:t>
            </w:r>
          </w:p>
        </w:tc>
        <w:tc>
          <w:tcPr>
            <w:tcW w:w="348"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w:t>
            </w:r>
          </w:p>
        </w:tc>
        <w:tc>
          <w:tcPr>
            <w:tcW w:w="988" w:type="dxa"/>
            <w:tcBorders>
              <w:top w:val="nil"/>
              <w:left w:val="nil"/>
              <w:bottom w:val="single" w:sz="4" w:space="0" w:color="auto"/>
              <w:right w:val="single" w:sz="4" w:space="0" w:color="auto"/>
            </w:tcBorders>
            <w:noWrap/>
            <w:vAlign w:val="center"/>
          </w:tcPr>
          <w:p w:rsidR="009A5889" w:rsidRPr="00C363ED" w:rsidRDefault="009A5889" w:rsidP="0026477D">
            <w:pPr>
              <w:spacing w:after="0" w:line="40" w:lineRule="atLeast"/>
            </w:pPr>
            <w:r w:rsidRPr="00C363ED">
              <w:t>SD</w:t>
            </w:r>
          </w:p>
        </w:tc>
        <w:tc>
          <w:tcPr>
            <w:tcW w:w="858" w:type="dxa"/>
            <w:tcBorders>
              <w:top w:val="double" w:sz="4" w:space="0" w:color="auto"/>
              <w:left w:val="nil"/>
              <w:bottom w:val="single" w:sz="4" w:space="0" w:color="auto"/>
              <w:right w:val="single" w:sz="4" w:space="0" w:color="auto"/>
            </w:tcBorders>
            <w:noWrap/>
            <w:vAlign w:val="center"/>
          </w:tcPr>
          <w:p w:rsidR="009A5889" w:rsidRPr="00C363ED" w:rsidRDefault="009A5889" w:rsidP="0026477D">
            <w:pPr>
              <w:spacing w:after="0" w:line="40" w:lineRule="atLeast"/>
            </w:pPr>
            <w:r w:rsidRPr="00C363ED">
              <w:t>t</w:t>
            </w:r>
          </w:p>
        </w:tc>
        <w:tc>
          <w:tcPr>
            <w:tcW w:w="1062" w:type="dxa"/>
            <w:tcBorders>
              <w:top w:val="double" w:sz="4" w:space="0" w:color="auto"/>
              <w:left w:val="nil"/>
              <w:bottom w:val="single" w:sz="4" w:space="0" w:color="auto"/>
              <w:right w:val="double" w:sz="4" w:space="0" w:color="auto"/>
            </w:tcBorders>
            <w:noWrap/>
            <w:vAlign w:val="center"/>
          </w:tcPr>
          <w:p w:rsidR="009A5889" w:rsidRPr="00C363ED" w:rsidRDefault="009A5889" w:rsidP="0026477D">
            <w:pPr>
              <w:spacing w:after="0" w:line="40" w:lineRule="atLeast"/>
            </w:pPr>
            <w:r w:rsidRPr="00C363ED">
              <w:t>P-value</w:t>
            </w:r>
          </w:p>
        </w:tc>
      </w:tr>
      <w:tr w:rsidR="009A5889" w:rsidRPr="00C363ED">
        <w:trPr>
          <w:trHeight w:val="315"/>
          <w:jc w:val="center"/>
        </w:trPr>
        <w:tc>
          <w:tcPr>
            <w:tcW w:w="3350" w:type="dxa"/>
            <w:tcBorders>
              <w:top w:val="nil"/>
              <w:left w:val="double" w:sz="4" w:space="0" w:color="auto"/>
              <w:bottom w:val="single" w:sz="4" w:space="0" w:color="auto"/>
              <w:right w:val="single" w:sz="4" w:space="0" w:color="auto"/>
            </w:tcBorders>
            <w:noWrap/>
            <w:vAlign w:val="center"/>
          </w:tcPr>
          <w:p w:rsidR="009A5889" w:rsidRPr="00C363ED" w:rsidRDefault="009A5889" w:rsidP="0026477D">
            <w:pPr>
              <w:spacing w:after="0" w:line="40" w:lineRule="atLeast"/>
            </w:pPr>
            <w:r w:rsidRPr="00C363ED">
              <w:t>Height .(cm)</w:t>
            </w:r>
          </w:p>
          <w:p w:rsidR="009A5889" w:rsidRPr="00C363ED" w:rsidRDefault="009A5889" w:rsidP="0026477D">
            <w:pPr>
              <w:spacing w:after="0" w:line="40" w:lineRule="atLeast"/>
            </w:pPr>
            <w:r w:rsidRPr="00C363ED">
              <w:t xml:space="preserve"> before  zinc supp.</w:t>
            </w:r>
          </w:p>
        </w:tc>
        <w:tc>
          <w:tcPr>
            <w:tcW w:w="986"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122.34</w:t>
            </w:r>
          </w:p>
        </w:tc>
        <w:tc>
          <w:tcPr>
            <w:tcW w:w="348"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w:t>
            </w:r>
          </w:p>
        </w:tc>
        <w:tc>
          <w:tcPr>
            <w:tcW w:w="986" w:type="dxa"/>
            <w:tcBorders>
              <w:top w:val="nil"/>
              <w:left w:val="nil"/>
              <w:bottom w:val="single" w:sz="4" w:space="0" w:color="auto"/>
              <w:right w:val="single" w:sz="4" w:space="0" w:color="auto"/>
            </w:tcBorders>
            <w:noWrap/>
            <w:vAlign w:val="center"/>
          </w:tcPr>
          <w:p w:rsidR="009A5889" w:rsidRPr="00C363ED" w:rsidRDefault="009A5889" w:rsidP="0026477D">
            <w:pPr>
              <w:spacing w:after="0" w:line="40" w:lineRule="atLeast"/>
            </w:pPr>
            <w:r w:rsidRPr="00C363ED">
              <w:t>12.22</w:t>
            </w:r>
          </w:p>
        </w:tc>
        <w:tc>
          <w:tcPr>
            <w:tcW w:w="986"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120.00</w:t>
            </w:r>
          </w:p>
        </w:tc>
        <w:tc>
          <w:tcPr>
            <w:tcW w:w="348"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w:t>
            </w:r>
          </w:p>
        </w:tc>
        <w:tc>
          <w:tcPr>
            <w:tcW w:w="988" w:type="dxa"/>
            <w:tcBorders>
              <w:top w:val="nil"/>
              <w:left w:val="nil"/>
              <w:bottom w:val="single" w:sz="4" w:space="0" w:color="auto"/>
              <w:right w:val="single" w:sz="4" w:space="0" w:color="auto"/>
            </w:tcBorders>
            <w:noWrap/>
            <w:vAlign w:val="center"/>
          </w:tcPr>
          <w:p w:rsidR="009A5889" w:rsidRPr="00C363ED" w:rsidRDefault="009A5889" w:rsidP="0026477D">
            <w:pPr>
              <w:spacing w:after="0" w:line="40" w:lineRule="atLeast"/>
            </w:pPr>
            <w:r w:rsidRPr="00C363ED">
              <w:t>11.543</w:t>
            </w:r>
          </w:p>
        </w:tc>
        <w:tc>
          <w:tcPr>
            <w:tcW w:w="858" w:type="dxa"/>
            <w:tcBorders>
              <w:top w:val="nil"/>
              <w:left w:val="nil"/>
              <w:bottom w:val="single" w:sz="4" w:space="0" w:color="auto"/>
              <w:right w:val="single" w:sz="4" w:space="0" w:color="auto"/>
            </w:tcBorders>
            <w:noWrap/>
            <w:vAlign w:val="center"/>
          </w:tcPr>
          <w:p w:rsidR="009A5889" w:rsidRPr="00C363ED" w:rsidRDefault="009A5889" w:rsidP="0026477D">
            <w:pPr>
              <w:spacing w:after="0" w:line="40" w:lineRule="atLeast"/>
            </w:pPr>
            <w:r w:rsidRPr="00C363ED">
              <w:t>7.765</w:t>
            </w:r>
          </w:p>
        </w:tc>
        <w:tc>
          <w:tcPr>
            <w:tcW w:w="1062" w:type="dxa"/>
            <w:tcBorders>
              <w:top w:val="nil"/>
              <w:left w:val="nil"/>
              <w:bottom w:val="single" w:sz="4" w:space="0" w:color="auto"/>
              <w:right w:val="double" w:sz="4" w:space="0" w:color="auto"/>
            </w:tcBorders>
            <w:noWrap/>
            <w:vAlign w:val="center"/>
          </w:tcPr>
          <w:p w:rsidR="009A5889" w:rsidRPr="00C363ED" w:rsidRDefault="009A5889" w:rsidP="0026477D">
            <w:pPr>
              <w:spacing w:after="0" w:line="40" w:lineRule="atLeast"/>
            </w:pPr>
            <w:r w:rsidRPr="00C363ED">
              <w:t>0.345</w:t>
            </w:r>
          </w:p>
        </w:tc>
      </w:tr>
      <w:tr w:rsidR="009A5889" w:rsidRPr="00C363ED">
        <w:trPr>
          <w:trHeight w:val="315"/>
          <w:jc w:val="center"/>
        </w:trPr>
        <w:tc>
          <w:tcPr>
            <w:tcW w:w="3350" w:type="dxa"/>
            <w:tcBorders>
              <w:top w:val="nil"/>
              <w:left w:val="double" w:sz="4" w:space="0" w:color="auto"/>
              <w:bottom w:val="single" w:sz="4" w:space="0" w:color="auto"/>
              <w:right w:val="single" w:sz="4" w:space="0" w:color="auto"/>
            </w:tcBorders>
            <w:noWrap/>
            <w:vAlign w:val="center"/>
          </w:tcPr>
          <w:p w:rsidR="009A5889" w:rsidRPr="00C363ED" w:rsidRDefault="009A5889" w:rsidP="0026477D">
            <w:pPr>
              <w:spacing w:after="0" w:line="40" w:lineRule="atLeast"/>
            </w:pPr>
            <w:r w:rsidRPr="00C363ED">
              <w:t>Height.(cm)</w:t>
            </w:r>
          </w:p>
          <w:p w:rsidR="009A5889" w:rsidRPr="00C363ED" w:rsidRDefault="009A5889" w:rsidP="0026477D">
            <w:pPr>
              <w:spacing w:after="0" w:line="40" w:lineRule="atLeast"/>
            </w:pPr>
            <w:r w:rsidRPr="00C363ED">
              <w:t xml:space="preserve"> after  Zinc  supp.</w:t>
            </w:r>
          </w:p>
        </w:tc>
        <w:tc>
          <w:tcPr>
            <w:tcW w:w="986"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129.55</w:t>
            </w:r>
          </w:p>
        </w:tc>
        <w:tc>
          <w:tcPr>
            <w:tcW w:w="348"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w:t>
            </w:r>
          </w:p>
        </w:tc>
        <w:tc>
          <w:tcPr>
            <w:tcW w:w="986" w:type="dxa"/>
            <w:tcBorders>
              <w:top w:val="nil"/>
              <w:left w:val="nil"/>
              <w:bottom w:val="single" w:sz="4" w:space="0" w:color="auto"/>
              <w:right w:val="single" w:sz="4" w:space="0" w:color="auto"/>
            </w:tcBorders>
            <w:noWrap/>
            <w:vAlign w:val="center"/>
          </w:tcPr>
          <w:p w:rsidR="009A5889" w:rsidRPr="00C363ED" w:rsidRDefault="009A5889" w:rsidP="0026477D">
            <w:pPr>
              <w:spacing w:after="0" w:line="40" w:lineRule="atLeast"/>
            </w:pPr>
            <w:r w:rsidRPr="00C363ED">
              <w:t>12.657</w:t>
            </w:r>
          </w:p>
        </w:tc>
        <w:tc>
          <w:tcPr>
            <w:tcW w:w="986"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127.59</w:t>
            </w:r>
          </w:p>
        </w:tc>
        <w:tc>
          <w:tcPr>
            <w:tcW w:w="348"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w:t>
            </w:r>
          </w:p>
        </w:tc>
        <w:tc>
          <w:tcPr>
            <w:tcW w:w="988" w:type="dxa"/>
            <w:tcBorders>
              <w:top w:val="nil"/>
              <w:left w:val="nil"/>
              <w:bottom w:val="single" w:sz="4" w:space="0" w:color="auto"/>
              <w:right w:val="single" w:sz="4" w:space="0" w:color="auto"/>
            </w:tcBorders>
            <w:noWrap/>
            <w:vAlign w:val="center"/>
          </w:tcPr>
          <w:p w:rsidR="009A5889" w:rsidRPr="00C363ED" w:rsidRDefault="009A5889" w:rsidP="0026477D">
            <w:pPr>
              <w:spacing w:after="0" w:line="40" w:lineRule="atLeast"/>
            </w:pPr>
            <w:r w:rsidRPr="00C363ED">
              <w:t>12.005</w:t>
            </w:r>
          </w:p>
        </w:tc>
        <w:tc>
          <w:tcPr>
            <w:tcW w:w="858" w:type="dxa"/>
            <w:tcBorders>
              <w:top w:val="nil"/>
              <w:left w:val="nil"/>
              <w:bottom w:val="single" w:sz="4" w:space="0" w:color="auto"/>
              <w:right w:val="single" w:sz="4" w:space="0" w:color="auto"/>
            </w:tcBorders>
            <w:noWrap/>
            <w:vAlign w:val="center"/>
          </w:tcPr>
          <w:p w:rsidR="009A5889" w:rsidRPr="00C363ED" w:rsidRDefault="009A5889" w:rsidP="0026477D">
            <w:pPr>
              <w:spacing w:after="0" w:line="40" w:lineRule="atLeast"/>
            </w:pPr>
            <w:r w:rsidRPr="00C363ED">
              <w:t>7.167</w:t>
            </w:r>
          </w:p>
        </w:tc>
        <w:tc>
          <w:tcPr>
            <w:tcW w:w="1062" w:type="dxa"/>
            <w:tcBorders>
              <w:top w:val="nil"/>
              <w:left w:val="nil"/>
              <w:bottom w:val="single" w:sz="4" w:space="0" w:color="auto"/>
              <w:right w:val="double" w:sz="4" w:space="0" w:color="auto"/>
            </w:tcBorders>
            <w:noWrap/>
            <w:vAlign w:val="center"/>
          </w:tcPr>
          <w:p w:rsidR="009A5889" w:rsidRPr="00C363ED" w:rsidRDefault="009A5889" w:rsidP="0026477D">
            <w:pPr>
              <w:spacing w:after="0" w:line="40" w:lineRule="atLeast"/>
            </w:pPr>
            <w:r w:rsidRPr="00C363ED">
              <w:t>0.269</w:t>
            </w:r>
          </w:p>
        </w:tc>
      </w:tr>
      <w:tr w:rsidR="009A5889" w:rsidRPr="00C363ED">
        <w:trPr>
          <w:trHeight w:val="315"/>
          <w:jc w:val="center"/>
        </w:trPr>
        <w:tc>
          <w:tcPr>
            <w:tcW w:w="3350" w:type="dxa"/>
            <w:tcBorders>
              <w:top w:val="nil"/>
              <w:left w:val="double" w:sz="4" w:space="0" w:color="auto"/>
              <w:bottom w:val="single" w:sz="4" w:space="0" w:color="auto"/>
              <w:right w:val="single" w:sz="4" w:space="0" w:color="auto"/>
            </w:tcBorders>
            <w:noWrap/>
            <w:vAlign w:val="center"/>
          </w:tcPr>
          <w:p w:rsidR="009A5889" w:rsidRPr="00C363ED" w:rsidRDefault="009A5889" w:rsidP="0026477D">
            <w:pPr>
              <w:spacing w:after="0" w:line="40" w:lineRule="atLeast"/>
            </w:pPr>
            <w:r w:rsidRPr="00C363ED">
              <w:t>Serum zinc before zinc</w:t>
            </w:r>
          </w:p>
          <w:p w:rsidR="009A5889" w:rsidRPr="00C363ED" w:rsidRDefault="009A5889" w:rsidP="0026477D">
            <w:pPr>
              <w:spacing w:after="0" w:line="40" w:lineRule="atLeast"/>
            </w:pPr>
            <w:r w:rsidRPr="00C363ED">
              <w:t xml:space="preserve"> supp. (μg/dl)</w:t>
            </w:r>
          </w:p>
        </w:tc>
        <w:tc>
          <w:tcPr>
            <w:tcW w:w="986"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66.429</w:t>
            </w:r>
          </w:p>
        </w:tc>
        <w:tc>
          <w:tcPr>
            <w:tcW w:w="348"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w:t>
            </w:r>
          </w:p>
        </w:tc>
        <w:tc>
          <w:tcPr>
            <w:tcW w:w="986" w:type="dxa"/>
            <w:tcBorders>
              <w:top w:val="nil"/>
              <w:left w:val="nil"/>
              <w:bottom w:val="single" w:sz="4" w:space="0" w:color="auto"/>
              <w:right w:val="single" w:sz="4" w:space="0" w:color="auto"/>
            </w:tcBorders>
            <w:noWrap/>
            <w:vAlign w:val="center"/>
          </w:tcPr>
          <w:p w:rsidR="009A5889" w:rsidRPr="00C363ED" w:rsidRDefault="009A5889" w:rsidP="0026477D">
            <w:pPr>
              <w:spacing w:after="0" w:line="40" w:lineRule="atLeast"/>
            </w:pPr>
            <w:r w:rsidRPr="00C363ED">
              <w:t>6.226</w:t>
            </w:r>
          </w:p>
        </w:tc>
        <w:tc>
          <w:tcPr>
            <w:tcW w:w="986"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69.579</w:t>
            </w:r>
          </w:p>
        </w:tc>
        <w:tc>
          <w:tcPr>
            <w:tcW w:w="348"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w:t>
            </w:r>
          </w:p>
        </w:tc>
        <w:tc>
          <w:tcPr>
            <w:tcW w:w="988" w:type="dxa"/>
            <w:tcBorders>
              <w:top w:val="nil"/>
              <w:left w:val="nil"/>
              <w:bottom w:val="single" w:sz="4" w:space="0" w:color="auto"/>
              <w:right w:val="single" w:sz="4" w:space="0" w:color="auto"/>
            </w:tcBorders>
            <w:noWrap/>
            <w:vAlign w:val="center"/>
          </w:tcPr>
          <w:p w:rsidR="009A5889" w:rsidRPr="00C363ED" w:rsidRDefault="009A5889" w:rsidP="0026477D">
            <w:pPr>
              <w:spacing w:after="0" w:line="40" w:lineRule="atLeast"/>
            </w:pPr>
            <w:r w:rsidRPr="00C363ED">
              <w:t>7.381</w:t>
            </w:r>
          </w:p>
        </w:tc>
        <w:tc>
          <w:tcPr>
            <w:tcW w:w="858" w:type="dxa"/>
            <w:tcBorders>
              <w:top w:val="nil"/>
              <w:left w:val="nil"/>
              <w:bottom w:val="single" w:sz="4" w:space="0" w:color="auto"/>
              <w:right w:val="single" w:sz="4" w:space="0" w:color="auto"/>
            </w:tcBorders>
            <w:noWrap/>
            <w:vAlign w:val="center"/>
          </w:tcPr>
          <w:p w:rsidR="009A5889" w:rsidRPr="00C363ED" w:rsidRDefault="009A5889" w:rsidP="0026477D">
            <w:pPr>
              <w:spacing w:after="0" w:line="40" w:lineRule="atLeast"/>
            </w:pPr>
            <w:r w:rsidRPr="00C363ED">
              <w:t>-1.464</w:t>
            </w:r>
          </w:p>
        </w:tc>
        <w:tc>
          <w:tcPr>
            <w:tcW w:w="1062" w:type="dxa"/>
            <w:tcBorders>
              <w:top w:val="nil"/>
              <w:left w:val="nil"/>
              <w:bottom w:val="single" w:sz="4" w:space="0" w:color="auto"/>
              <w:right w:val="double" w:sz="4" w:space="0" w:color="auto"/>
            </w:tcBorders>
            <w:noWrap/>
            <w:vAlign w:val="center"/>
          </w:tcPr>
          <w:p w:rsidR="009A5889" w:rsidRPr="00C363ED" w:rsidRDefault="009A5889" w:rsidP="0026477D">
            <w:pPr>
              <w:spacing w:after="0" w:line="40" w:lineRule="atLeast"/>
            </w:pPr>
            <w:r w:rsidRPr="00C363ED">
              <w:t>0.151</w:t>
            </w:r>
          </w:p>
        </w:tc>
      </w:tr>
      <w:tr w:rsidR="009A5889" w:rsidRPr="00C363ED">
        <w:trPr>
          <w:trHeight w:val="315"/>
          <w:jc w:val="center"/>
        </w:trPr>
        <w:tc>
          <w:tcPr>
            <w:tcW w:w="3350" w:type="dxa"/>
            <w:tcBorders>
              <w:top w:val="nil"/>
              <w:left w:val="double" w:sz="4" w:space="0" w:color="auto"/>
              <w:bottom w:val="single" w:sz="4" w:space="0" w:color="auto"/>
              <w:right w:val="single" w:sz="4" w:space="0" w:color="auto"/>
            </w:tcBorders>
            <w:noWrap/>
            <w:vAlign w:val="center"/>
          </w:tcPr>
          <w:p w:rsidR="009A5889" w:rsidRPr="00C363ED" w:rsidRDefault="009A5889" w:rsidP="0026477D">
            <w:pPr>
              <w:spacing w:after="0" w:line="40" w:lineRule="atLeast"/>
            </w:pPr>
            <w:r w:rsidRPr="00C363ED">
              <w:t>Serum zinc after zinc supp.(μg/dl)</w:t>
            </w:r>
          </w:p>
        </w:tc>
        <w:tc>
          <w:tcPr>
            <w:tcW w:w="986"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69.810</w:t>
            </w:r>
          </w:p>
        </w:tc>
        <w:tc>
          <w:tcPr>
            <w:tcW w:w="348"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w:t>
            </w:r>
          </w:p>
        </w:tc>
        <w:tc>
          <w:tcPr>
            <w:tcW w:w="986" w:type="dxa"/>
            <w:tcBorders>
              <w:top w:val="nil"/>
              <w:left w:val="nil"/>
              <w:bottom w:val="single" w:sz="4" w:space="0" w:color="auto"/>
              <w:right w:val="single" w:sz="4" w:space="0" w:color="auto"/>
            </w:tcBorders>
            <w:noWrap/>
            <w:vAlign w:val="center"/>
          </w:tcPr>
          <w:p w:rsidR="009A5889" w:rsidRPr="00C363ED" w:rsidRDefault="009A5889" w:rsidP="0026477D">
            <w:pPr>
              <w:spacing w:after="0" w:line="40" w:lineRule="atLeast"/>
            </w:pPr>
            <w:r w:rsidRPr="00C363ED">
              <w:t>6.577</w:t>
            </w:r>
          </w:p>
        </w:tc>
        <w:tc>
          <w:tcPr>
            <w:tcW w:w="986"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70.737</w:t>
            </w:r>
          </w:p>
        </w:tc>
        <w:tc>
          <w:tcPr>
            <w:tcW w:w="348"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w:t>
            </w:r>
          </w:p>
        </w:tc>
        <w:tc>
          <w:tcPr>
            <w:tcW w:w="988" w:type="dxa"/>
            <w:tcBorders>
              <w:top w:val="nil"/>
              <w:left w:val="nil"/>
              <w:bottom w:val="single" w:sz="4" w:space="0" w:color="auto"/>
              <w:right w:val="single" w:sz="4" w:space="0" w:color="auto"/>
            </w:tcBorders>
            <w:noWrap/>
            <w:vAlign w:val="center"/>
          </w:tcPr>
          <w:p w:rsidR="009A5889" w:rsidRPr="00C363ED" w:rsidRDefault="009A5889" w:rsidP="0026477D">
            <w:pPr>
              <w:spacing w:after="0" w:line="40" w:lineRule="atLeast"/>
            </w:pPr>
            <w:r w:rsidRPr="00C363ED">
              <w:t>6.226</w:t>
            </w:r>
          </w:p>
        </w:tc>
        <w:tc>
          <w:tcPr>
            <w:tcW w:w="858" w:type="dxa"/>
            <w:tcBorders>
              <w:top w:val="nil"/>
              <w:left w:val="nil"/>
              <w:bottom w:val="single" w:sz="4" w:space="0" w:color="auto"/>
              <w:right w:val="single" w:sz="4" w:space="0" w:color="auto"/>
            </w:tcBorders>
            <w:noWrap/>
            <w:vAlign w:val="center"/>
          </w:tcPr>
          <w:p w:rsidR="009A5889" w:rsidRPr="00C363ED" w:rsidRDefault="009A5889" w:rsidP="0026477D">
            <w:pPr>
              <w:spacing w:after="0" w:line="40" w:lineRule="atLeast"/>
            </w:pPr>
            <w:r w:rsidRPr="00C363ED">
              <w:t>-0.457</w:t>
            </w:r>
          </w:p>
        </w:tc>
        <w:tc>
          <w:tcPr>
            <w:tcW w:w="1062" w:type="dxa"/>
            <w:tcBorders>
              <w:top w:val="nil"/>
              <w:left w:val="nil"/>
              <w:bottom w:val="single" w:sz="4" w:space="0" w:color="auto"/>
              <w:right w:val="double" w:sz="4" w:space="0" w:color="auto"/>
            </w:tcBorders>
            <w:noWrap/>
            <w:vAlign w:val="center"/>
          </w:tcPr>
          <w:p w:rsidR="009A5889" w:rsidRPr="00C363ED" w:rsidRDefault="009A5889" w:rsidP="0026477D">
            <w:pPr>
              <w:spacing w:after="0" w:line="40" w:lineRule="atLeast"/>
            </w:pPr>
            <w:r w:rsidRPr="00C363ED">
              <w:t>0.651</w:t>
            </w:r>
          </w:p>
        </w:tc>
      </w:tr>
      <w:tr w:rsidR="009A5889" w:rsidRPr="00C363ED">
        <w:trPr>
          <w:trHeight w:val="315"/>
          <w:jc w:val="center"/>
        </w:trPr>
        <w:tc>
          <w:tcPr>
            <w:tcW w:w="3350" w:type="dxa"/>
            <w:tcBorders>
              <w:top w:val="nil"/>
              <w:left w:val="double" w:sz="4" w:space="0" w:color="auto"/>
              <w:bottom w:val="single" w:sz="4" w:space="0" w:color="auto"/>
              <w:right w:val="single" w:sz="4" w:space="0" w:color="auto"/>
            </w:tcBorders>
            <w:noWrap/>
            <w:vAlign w:val="center"/>
          </w:tcPr>
          <w:p w:rsidR="009A5889" w:rsidRPr="00C363ED" w:rsidRDefault="009A5889" w:rsidP="0026477D">
            <w:pPr>
              <w:spacing w:after="0" w:line="40" w:lineRule="atLeast"/>
            </w:pPr>
            <w:r w:rsidRPr="00C363ED">
              <w:t>BMD Z-Score before  zinc supp.(SD)</w:t>
            </w:r>
          </w:p>
        </w:tc>
        <w:tc>
          <w:tcPr>
            <w:tcW w:w="986"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-2.971</w:t>
            </w:r>
          </w:p>
        </w:tc>
        <w:tc>
          <w:tcPr>
            <w:tcW w:w="348"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w:t>
            </w:r>
          </w:p>
        </w:tc>
        <w:tc>
          <w:tcPr>
            <w:tcW w:w="986" w:type="dxa"/>
            <w:tcBorders>
              <w:top w:val="nil"/>
              <w:left w:val="nil"/>
              <w:bottom w:val="single" w:sz="4" w:space="0" w:color="auto"/>
              <w:right w:val="single" w:sz="4" w:space="0" w:color="auto"/>
            </w:tcBorders>
            <w:noWrap/>
            <w:vAlign w:val="center"/>
          </w:tcPr>
          <w:p w:rsidR="009A5889" w:rsidRPr="00C363ED" w:rsidRDefault="009A5889" w:rsidP="0026477D">
            <w:pPr>
              <w:spacing w:after="0" w:line="40" w:lineRule="atLeast"/>
            </w:pPr>
            <w:r w:rsidRPr="00C363ED">
              <w:t>0.366</w:t>
            </w:r>
          </w:p>
        </w:tc>
        <w:tc>
          <w:tcPr>
            <w:tcW w:w="986"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-3.047</w:t>
            </w:r>
          </w:p>
        </w:tc>
        <w:tc>
          <w:tcPr>
            <w:tcW w:w="348"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w:t>
            </w:r>
          </w:p>
        </w:tc>
        <w:tc>
          <w:tcPr>
            <w:tcW w:w="988" w:type="dxa"/>
            <w:tcBorders>
              <w:top w:val="nil"/>
              <w:left w:val="nil"/>
              <w:bottom w:val="single" w:sz="4" w:space="0" w:color="auto"/>
              <w:right w:val="single" w:sz="4" w:space="0" w:color="auto"/>
            </w:tcBorders>
            <w:noWrap/>
            <w:vAlign w:val="center"/>
          </w:tcPr>
          <w:p w:rsidR="009A5889" w:rsidRPr="00C363ED" w:rsidRDefault="009A5889" w:rsidP="0026477D">
            <w:pPr>
              <w:spacing w:after="0" w:line="40" w:lineRule="atLeast"/>
            </w:pPr>
            <w:r w:rsidRPr="00C363ED">
              <w:t>0.461</w:t>
            </w:r>
          </w:p>
        </w:tc>
        <w:tc>
          <w:tcPr>
            <w:tcW w:w="858" w:type="dxa"/>
            <w:tcBorders>
              <w:top w:val="nil"/>
              <w:left w:val="nil"/>
              <w:bottom w:val="single" w:sz="4" w:space="0" w:color="auto"/>
              <w:right w:val="single" w:sz="4" w:space="0" w:color="auto"/>
            </w:tcBorders>
            <w:noWrap/>
            <w:vAlign w:val="center"/>
          </w:tcPr>
          <w:p w:rsidR="009A5889" w:rsidRPr="00C363ED" w:rsidRDefault="009A5889" w:rsidP="0026477D">
            <w:pPr>
              <w:spacing w:after="0" w:line="40" w:lineRule="atLeast"/>
            </w:pPr>
            <w:r w:rsidRPr="00C363ED">
              <w:t>0.579</w:t>
            </w:r>
          </w:p>
        </w:tc>
        <w:tc>
          <w:tcPr>
            <w:tcW w:w="1062" w:type="dxa"/>
            <w:tcBorders>
              <w:top w:val="nil"/>
              <w:left w:val="nil"/>
              <w:bottom w:val="single" w:sz="4" w:space="0" w:color="auto"/>
              <w:right w:val="double" w:sz="4" w:space="0" w:color="auto"/>
            </w:tcBorders>
            <w:noWrap/>
            <w:vAlign w:val="center"/>
          </w:tcPr>
          <w:p w:rsidR="009A5889" w:rsidRPr="00C363ED" w:rsidRDefault="009A5889" w:rsidP="0026477D">
            <w:pPr>
              <w:spacing w:after="0" w:line="40" w:lineRule="atLeast"/>
            </w:pPr>
            <w:r w:rsidRPr="00C363ED">
              <w:t>0.566</w:t>
            </w:r>
          </w:p>
        </w:tc>
      </w:tr>
      <w:tr w:rsidR="009A5889" w:rsidRPr="00C363ED">
        <w:trPr>
          <w:trHeight w:val="315"/>
          <w:jc w:val="center"/>
        </w:trPr>
        <w:tc>
          <w:tcPr>
            <w:tcW w:w="3350" w:type="dxa"/>
            <w:tcBorders>
              <w:top w:val="nil"/>
              <w:left w:val="double" w:sz="4" w:space="0" w:color="auto"/>
              <w:bottom w:val="single" w:sz="4" w:space="0" w:color="auto"/>
              <w:right w:val="single" w:sz="4" w:space="0" w:color="auto"/>
            </w:tcBorders>
            <w:noWrap/>
            <w:vAlign w:val="center"/>
          </w:tcPr>
          <w:p w:rsidR="009A5889" w:rsidRPr="00C363ED" w:rsidRDefault="009A5889" w:rsidP="0026477D">
            <w:pPr>
              <w:spacing w:after="0" w:line="40" w:lineRule="atLeast"/>
            </w:pPr>
            <w:r w:rsidRPr="00C363ED">
              <w:t>BMD Z-Score  after zinc</w:t>
            </w:r>
          </w:p>
          <w:p w:rsidR="009A5889" w:rsidRPr="00C363ED" w:rsidRDefault="009A5889" w:rsidP="0026477D">
            <w:pPr>
              <w:spacing w:after="0" w:line="40" w:lineRule="atLeast"/>
            </w:pPr>
            <w:r w:rsidRPr="00C363ED">
              <w:t xml:space="preserve"> supp.(SD)</w:t>
            </w:r>
          </w:p>
        </w:tc>
        <w:tc>
          <w:tcPr>
            <w:tcW w:w="986"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-2.400</w:t>
            </w:r>
          </w:p>
        </w:tc>
        <w:tc>
          <w:tcPr>
            <w:tcW w:w="348"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w:t>
            </w:r>
          </w:p>
        </w:tc>
        <w:tc>
          <w:tcPr>
            <w:tcW w:w="986" w:type="dxa"/>
            <w:tcBorders>
              <w:top w:val="nil"/>
              <w:left w:val="nil"/>
              <w:bottom w:val="single" w:sz="4" w:space="0" w:color="auto"/>
              <w:right w:val="single" w:sz="4" w:space="0" w:color="auto"/>
            </w:tcBorders>
            <w:noWrap/>
            <w:vAlign w:val="center"/>
          </w:tcPr>
          <w:p w:rsidR="009A5889" w:rsidRPr="00C363ED" w:rsidRDefault="009A5889" w:rsidP="0026477D">
            <w:pPr>
              <w:spacing w:after="0" w:line="40" w:lineRule="atLeast"/>
            </w:pPr>
            <w:r w:rsidRPr="00C363ED">
              <w:t>0.460</w:t>
            </w:r>
          </w:p>
        </w:tc>
        <w:tc>
          <w:tcPr>
            <w:tcW w:w="986"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-2.537</w:t>
            </w:r>
          </w:p>
        </w:tc>
        <w:tc>
          <w:tcPr>
            <w:tcW w:w="348" w:type="dxa"/>
            <w:tcBorders>
              <w:top w:val="nil"/>
              <w:left w:val="nil"/>
              <w:bottom w:val="single" w:sz="4" w:space="0" w:color="auto"/>
              <w:right w:val="nil"/>
            </w:tcBorders>
            <w:noWrap/>
            <w:vAlign w:val="center"/>
          </w:tcPr>
          <w:p w:rsidR="009A5889" w:rsidRPr="00C363ED" w:rsidRDefault="009A5889" w:rsidP="0026477D">
            <w:pPr>
              <w:spacing w:after="0" w:line="40" w:lineRule="atLeast"/>
            </w:pPr>
            <w:r w:rsidRPr="00C363ED">
              <w:t>±</w:t>
            </w:r>
          </w:p>
        </w:tc>
        <w:tc>
          <w:tcPr>
            <w:tcW w:w="988" w:type="dxa"/>
            <w:tcBorders>
              <w:top w:val="nil"/>
              <w:left w:val="nil"/>
              <w:bottom w:val="single" w:sz="4" w:space="0" w:color="auto"/>
              <w:right w:val="single" w:sz="4" w:space="0" w:color="auto"/>
            </w:tcBorders>
            <w:noWrap/>
            <w:vAlign w:val="center"/>
          </w:tcPr>
          <w:p w:rsidR="009A5889" w:rsidRPr="00C363ED" w:rsidRDefault="009A5889" w:rsidP="0026477D">
            <w:pPr>
              <w:spacing w:after="0" w:line="40" w:lineRule="atLeast"/>
            </w:pPr>
            <w:r w:rsidRPr="00C363ED">
              <w:t>0.537</w:t>
            </w:r>
          </w:p>
        </w:tc>
        <w:tc>
          <w:tcPr>
            <w:tcW w:w="858" w:type="dxa"/>
            <w:tcBorders>
              <w:top w:val="nil"/>
              <w:left w:val="nil"/>
              <w:bottom w:val="single" w:sz="4" w:space="0" w:color="auto"/>
              <w:right w:val="single" w:sz="4" w:space="0" w:color="auto"/>
            </w:tcBorders>
            <w:noWrap/>
            <w:vAlign w:val="center"/>
          </w:tcPr>
          <w:p w:rsidR="009A5889" w:rsidRPr="00C363ED" w:rsidRDefault="009A5889" w:rsidP="0026477D">
            <w:pPr>
              <w:spacing w:after="0" w:line="40" w:lineRule="atLeast"/>
            </w:pPr>
            <w:r w:rsidRPr="00C363ED">
              <w:t>0.868</w:t>
            </w:r>
          </w:p>
        </w:tc>
        <w:tc>
          <w:tcPr>
            <w:tcW w:w="1062" w:type="dxa"/>
            <w:tcBorders>
              <w:top w:val="nil"/>
              <w:left w:val="nil"/>
              <w:bottom w:val="single" w:sz="4" w:space="0" w:color="auto"/>
              <w:right w:val="double" w:sz="4" w:space="0" w:color="auto"/>
            </w:tcBorders>
            <w:noWrap/>
            <w:vAlign w:val="center"/>
          </w:tcPr>
          <w:p w:rsidR="009A5889" w:rsidRPr="00C363ED" w:rsidRDefault="009A5889" w:rsidP="0026477D">
            <w:pPr>
              <w:spacing w:after="0" w:line="40" w:lineRule="atLeast"/>
            </w:pPr>
            <w:r w:rsidRPr="00C363ED">
              <w:t>0.391</w:t>
            </w:r>
          </w:p>
        </w:tc>
      </w:tr>
    </w:tbl>
    <w:p w:rsidR="009A5889" w:rsidRPr="00C363ED" w:rsidRDefault="009A5889" w:rsidP="0026477D">
      <w:pPr>
        <w:spacing w:after="0" w:line="360" w:lineRule="auto"/>
        <w:ind w:firstLine="425"/>
        <w:jc w:val="both"/>
      </w:pPr>
    </w:p>
    <w:p w:rsidR="009A5889" w:rsidRPr="00C363ED" w:rsidRDefault="009A5889" w:rsidP="0026477D">
      <w:pPr>
        <w:spacing w:after="0" w:line="360" w:lineRule="auto"/>
        <w:ind w:firstLine="425"/>
        <w:jc w:val="both"/>
      </w:pPr>
      <w:r w:rsidRPr="00C363ED">
        <w:t>There was no statistically significant difference between males and females when mean height, serum zinc level and BMD Z-score were measured before and after zinc supplementation (P value&gt; 0.05).</w:t>
      </w:r>
    </w:p>
    <w:p w:rsidR="009A5889" w:rsidRPr="00C363ED" w:rsidRDefault="009A5889" w:rsidP="0026477D">
      <w:pPr>
        <w:spacing w:after="0" w:line="360" w:lineRule="auto"/>
        <w:ind w:firstLine="425"/>
        <w:jc w:val="both"/>
      </w:pPr>
      <w:r w:rsidRPr="00C363ED">
        <w:t>Table (6): Mean height,serum zinc level and BMD Z-score before and after zinc supplementation in males.</w:t>
      </w:r>
    </w:p>
    <w:tbl>
      <w:tblPr>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27"/>
        <w:gridCol w:w="2063"/>
        <w:gridCol w:w="2223"/>
        <w:gridCol w:w="1925"/>
        <w:gridCol w:w="1966"/>
      </w:tblGrid>
      <w:tr w:rsidR="009A5889" w:rsidRPr="00C363ED">
        <w:trPr>
          <w:trHeight w:val="692"/>
          <w:jc w:val="center"/>
        </w:trPr>
        <w:tc>
          <w:tcPr>
            <w:tcW w:w="1520" w:type="dxa"/>
          </w:tcPr>
          <w:p w:rsidR="009A5889" w:rsidRPr="00C363ED" w:rsidRDefault="009A5889" w:rsidP="0026477D">
            <w:pPr>
              <w:spacing w:after="0" w:line="40" w:lineRule="atLeast"/>
            </w:pPr>
          </w:p>
        </w:tc>
        <w:tc>
          <w:tcPr>
            <w:tcW w:w="1548" w:type="dxa"/>
            <w:vAlign w:val="center"/>
          </w:tcPr>
          <w:p w:rsidR="009A5889" w:rsidRPr="00C363ED" w:rsidRDefault="009A5889" w:rsidP="0026477D">
            <w:pPr>
              <w:spacing w:after="0" w:line="40" w:lineRule="atLeast"/>
            </w:pPr>
            <w:r w:rsidRPr="00C363ED">
              <w:t>Before zinc supp.</w:t>
            </w:r>
          </w:p>
        </w:tc>
        <w:tc>
          <w:tcPr>
            <w:tcW w:w="1668" w:type="dxa"/>
            <w:vAlign w:val="center"/>
          </w:tcPr>
          <w:p w:rsidR="009A5889" w:rsidRPr="00C363ED" w:rsidRDefault="009A5889" w:rsidP="0026477D">
            <w:pPr>
              <w:spacing w:after="0" w:line="40" w:lineRule="atLeast"/>
            </w:pPr>
            <w:r w:rsidRPr="00C363ED">
              <w:t>After zinc supp.</w:t>
            </w:r>
          </w:p>
        </w:tc>
        <w:tc>
          <w:tcPr>
            <w:tcW w:w="1444" w:type="dxa"/>
            <w:vAlign w:val="center"/>
          </w:tcPr>
          <w:p w:rsidR="009A5889" w:rsidRPr="00C363ED" w:rsidRDefault="009A5889" w:rsidP="0026477D">
            <w:pPr>
              <w:spacing w:after="0" w:line="40" w:lineRule="atLeast"/>
            </w:pPr>
            <w:r w:rsidRPr="00C363ED">
              <w:t>t</w:t>
            </w:r>
          </w:p>
        </w:tc>
        <w:tc>
          <w:tcPr>
            <w:tcW w:w="1475" w:type="dxa"/>
            <w:vAlign w:val="center"/>
          </w:tcPr>
          <w:p w:rsidR="009A5889" w:rsidRPr="00C363ED" w:rsidRDefault="009A5889" w:rsidP="0026477D">
            <w:pPr>
              <w:spacing w:after="0" w:line="40" w:lineRule="atLeast"/>
            </w:pPr>
            <w:r w:rsidRPr="00C363ED">
              <w:t>P value</w:t>
            </w:r>
          </w:p>
        </w:tc>
      </w:tr>
      <w:tr w:rsidR="009A5889" w:rsidRPr="00C363ED">
        <w:trPr>
          <w:trHeight w:val="485"/>
          <w:jc w:val="center"/>
        </w:trPr>
        <w:tc>
          <w:tcPr>
            <w:tcW w:w="1520" w:type="dxa"/>
            <w:vAlign w:val="center"/>
          </w:tcPr>
          <w:p w:rsidR="009A5889" w:rsidRPr="00C363ED" w:rsidRDefault="009A5889" w:rsidP="0026477D">
            <w:pPr>
              <w:spacing w:after="0" w:line="40" w:lineRule="atLeast"/>
            </w:pPr>
            <w:r w:rsidRPr="00C363ED">
              <w:t>Mean height(cm)</w:t>
            </w:r>
          </w:p>
        </w:tc>
        <w:tc>
          <w:tcPr>
            <w:tcW w:w="1548" w:type="dxa"/>
            <w:vAlign w:val="center"/>
          </w:tcPr>
          <w:p w:rsidR="009A5889" w:rsidRPr="00C363ED" w:rsidRDefault="009A5889" w:rsidP="0026477D">
            <w:pPr>
              <w:spacing w:after="0" w:line="40" w:lineRule="atLeast"/>
            </w:pPr>
            <w:r w:rsidRPr="00C363ED">
              <w:t>120±11.543</w:t>
            </w:r>
          </w:p>
        </w:tc>
        <w:tc>
          <w:tcPr>
            <w:tcW w:w="1668" w:type="dxa"/>
            <w:vAlign w:val="center"/>
          </w:tcPr>
          <w:p w:rsidR="009A5889" w:rsidRPr="00C363ED" w:rsidRDefault="009A5889" w:rsidP="0026477D">
            <w:pPr>
              <w:spacing w:after="0" w:line="40" w:lineRule="atLeast"/>
            </w:pPr>
            <w:r w:rsidRPr="00C363ED">
              <w:t>127.59±12.005</w:t>
            </w:r>
          </w:p>
        </w:tc>
        <w:tc>
          <w:tcPr>
            <w:tcW w:w="1444" w:type="dxa"/>
            <w:vAlign w:val="center"/>
          </w:tcPr>
          <w:p w:rsidR="009A5889" w:rsidRPr="00C363ED" w:rsidRDefault="009A5889" w:rsidP="0026477D">
            <w:pPr>
              <w:spacing w:after="0" w:line="40" w:lineRule="atLeast"/>
            </w:pPr>
            <w:r w:rsidRPr="00C363ED">
              <w:t>-11.231</w:t>
            </w:r>
          </w:p>
        </w:tc>
        <w:tc>
          <w:tcPr>
            <w:tcW w:w="1475" w:type="dxa"/>
            <w:vAlign w:val="center"/>
          </w:tcPr>
          <w:p w:rsidR="009A5889" w:rsidRPr="00C363ED" w:rsidRDefault="009A5889" w:rsidP="0026477D">
            <w:pPr>
              <w:spacing w:after="0" w:line="40" w:lineRule="atLeast"/>
            </w:pPr>
            <w:r w:rsidRPr="00C363ED">
              <w:t>&lt; 0.001*</w:t>
            </w:r>
          </w:p>
        </w:tc>
      </w:tr>
      <w:tr w:rsidR="009A5889" w:rsidRPr="00C363ED">
        <w:trPr>
          <w:jc w:val="center"/>
        </w:trPr>
        <w:tc>
          <w:tcPr>
            <w:tcW w:w="1520" w:type="dxa"/>
            <w:vAlign w:val="center"/>
          </w:tcPr>
          <w:p w:rsidR="009A5889" w:rsidRPr="00C363ED" w:rsidRDefault="009A5889" w:rsidP="0026477D">
            <w:pPr>
              <w:spacing w:after="0" w:line="40" w:lineRule="atLeast"/>
            </w:pPr>
            <w:r w:rsidRPr="00C363ED">
              <w:t>Mean serum zinc level (μg/dl)</w:t>
            </w:r>
          </w:p>
        </w:tc>
        <w:tc>
          <w:tcPr>
            <w:tcW w:w="1548" w:type="dxa"/>
            <w:vAlign w:val="center"/>
          </w:tcPr>
          <w:p w:rsidR="009A5889" w:rsidRPr="00C363ED" w:rsidRDefault="009A5889" w:rsidP="0026477D">
            <w:pPr>
              <w:spacing w:after="0" w:line="40" w:lineRule="atLeast"/>
            </w:pPr>
            <w:r w:rsidRPr="00C363ED">
              <w:t>69.579±7.381</w:t>
            </w:r>
          </w:p>
        </w:tc>
        <w:tc>
          <w:tcPr>
            <w:tcW w:w="1668" w:type="dxa"/>
            <w:vAlign w:val="center"/>
          </w:tcPr>
          <w:p w:rsidR="009A5889" w:rsidRPr="00C363ED" w:rsidRDefault="009A5889" w:rsidP="0026477D">
            <w:pPr>
              <w:spacing w:after="0" w:line="40" w:lineRule="atLeast"/>
            </w:pPr>
            <w:r w:rsidRPr="00C363ED">
              <w:t>70.737±6.226</w:t>
            </w:r>
          </w:p>
        </w:tc>
        <w:tc>
          <w:tcPr>
            <w:tcW w:w="1444" w:type="dxa"/>
            <w:vAlign w:val="center"/>
          </w:tcPr>
          <w:p w:rsidR="009A5889" w:rsidRPr="00C363ED" w:rsidRDefault="009A5889" w:rsidP="0026477D">
            <w:pPr>
              <w:spacing w:after="0" w:line="40" w:lineRule="atLeast"/>
            </w:pPr>
            <w:r w:rsidRPr="00C363ED">
              <w:t>-6.002</w:t>
            </w:r>
          </w:p>
        </w:tc>
        <w:tc>
          <w:tcPr>
            <w:tcW w:w="1475" w:type="dxa"/>
            <w:vAlign w:val="center"/>
          </w:tcPr>
          <w:p w:rsidR="009A5889" w:rsidRPr="00C363ED" w:rsidRDefault="009A5889" w:rsidP="0026477D">
            <w:pPr>
              <w:spacing w:after="0" w:line="40" w:lineRule="atLeast"/>
            </w:pPr>
            <w:r w:rsidRPr="00C363ED">
              <w:t>&lt; 0.001*</w:t>
            </w:r>
          </w:p>
        </w:tc>
      </w:tr>
      <w:tr w:rsidR="009A5889" w:rsidRPr="00C363ED">
        <w:trPr>
          <w:jc w:val="center"/>
        </w:trPr>
        <w:tc>
          <w:tcPr>
            <w:tcW w:w="1520" w:type="dxa"/>
            <w:vAlign w:val="center"/>
          </w:tcPr>
          <w:p w:rsidR="009A5889" w:rsidRPr="00C363ED" w:rsidRDefault="009A5889" w:rsidP="0026477D">
            <w:pPr>
              <w:spacing w:after="0" w:line="40" w:lineRule="atLeast"/>
            </w:pPr>
            <w:r w:rsidRPr="00C363ED">
              <w:t>Mean Z score (SD)</w:t>
            </w:r>
          </w:p>
        </w:tc>
        <w:tc>
          <w:tcPr>
            <w:tcW w:w="1548" w:type="dxa"/>
            <w:vAlign w:val="center"/>
          </w:tcPr>
          <w:p w:rsidR="009A5889" w:rsidRPr="00C363ED" w:rsidRDefault="009A5889" w:rsidP="0026477D">
            <w:pPr>
              <w:spacing w:after="0" w:line="40" w:lineRule="atLeast"/>
            </w:pPr>
            <w:r w:rsidRPr="00C363ED">
              <w:t>-3.047±0.461</w:t>
            </w:r>
          </w:p>
        </w:tc>
        <w:tc>
          <w:tcPr>
            <w:tcW w:w="1668" w:type="dxa"/>
            <w:vAlign w:val="center"/>
          </w:tcPr>
          <w:p w:rsidR="009A5889" w:rsidRPr="00C363ED" w:rsidRDefault="009A5889" w:rsidP="0026477D">
            <w:pPr>
              <w:spacing w:after="0" w:line="40" w:lineRule="atLeast"/>
            </w:pPr>
            <w:r w:rsidRPr="00C363ED">
              <w:t>-2.537±0.537</w:t>
            </w:r>
          </w:p>
        </w:tc>
        <w:tc>
          <w:tcPr>
            <w:tcW w:w="1444" w:type="dxa"/>
            <w:vAlign w:val="center"/>
          </w:tcPr>
          <w:p w:rsidR="009A5889" w:rsidRPr="00C363ED" w:rsidRDefault="009A5889" w:rsidP="0026477D">
            <w:pPr>
              <w:spacing w:after="0" w:line="40" w:lineRule="atLeast"/>
            </w:pPr>
            <w:r w:rsidRPr="00C363ED">
              <w:t>-12.762</w:t>
            </w:r>
          </w:p>
        </w:tc>
        <w:tc>
          <w:tcPr>
            <w:tcW w:w="1475" w:type="dxa"/>
            <w:vAlign w:val="center"/>
          </w:tcPr>
          <w:p w:rsidR="009A5889" w:rsidRPr="00C363ED" w:rsidRDefault="009A5889" w:rsidP="0026477D">
            <w:pPr>
              <w:spacing w:after="0" w:line="40" w:lineRule="atLeast"/>
            </w:pPr>
            <w:r w:rsidRPr="00C363ED">
              <w:t>&lt; 0.001*</w:t>
            </w:r>
          </w:p>
        </w:tc>
      </w:tr>
    </w:tbl>
    <w:p w:rsidR="009A5889" w:rsidRPr="00C363ED" w:rsidRDefault="009A5889" w:rsidP="0026477D">
      <w:pPr>
        <w:spacing w:after="0" w:line="360" w:lineRule="auto"/>
        <w:ind w:firstLine="425"/>
        <w:jc w:val="both"/>
      </w:pPr>
    </w:p>
    <w:p w:rsidR="009A5889" w:rsidRPr="00C363ED" w:rsidRDefault="009A5889" w:rsidP="0026477D">
      <w:pPr>
        <w:spacing w:after="0" w:line="360" w:lineRule="auto"/>
        <w:ind w:firstLine="425"/>
        <w:jc w:val="both"/>
      </w:pPr>
      <w:r w:rsidRPr="00C363ED">
        <w:t>There was statistically significant difference in males when mean serumzinc, height and BMD Z-score were measures before and after zinc supplementation (P value &lt;0.001).</w:t>
      </w:r>
    </w:p>
    <w:p w:rsidR="009A5889" w:rsidRPr="00C363ED" w:rsidRDefault="009A5889" w:rsidP="0026477D">
      <w:pPr>
        <w:spacing w:after="0" w:line="360" w:lineRule="auto"/>
        <w:ind w:firstLine="425"/>
        <w:jc w:val="both"/>
      </w:pPr>
      <w:r w:rsidRPr="00C363ED">
        <w:t>Table (7): Mean height,serum zinc level and BMD Z-score before and after zinc supplementation in females.</w:t>
      </w:r>
    </w:p>
    <w:p w:rsidR="009A5889" w:rsidRPr="00C363ED" w:rsidRDefault="009A5889" w:rsidP="0026477D">
      <w:pPr>
        <w:spacing w:after="0" w:line="360" w:lineRule="auto"/>
        <w:ind w:firstLine="425"/>
        <w:jc w:val="both"/>
      </w:pPr>
    </w:p>
    <w:tbl>
      <w:tblPr>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28"/>
        <w:gridCol w:w="2063"/>
        <w:gridCol w:w="2223"/>
        <w:gridCol w:w="1925"/>
        <w:gridCol w:w="1965"/>
      </w:tblGrid>
      <w:tr w:rsidR="009A5889" w:rsidRPr="00C363ED">
        <w:trPr>
          <w:trHeight w:val="737"/>
          <w:jc w:val="center"/>
        </w:trPr>
        <w:tc>
          <w:tcPr>
            <w:tcW w:w="1521" w:type="dxa"/>
          </w:tcPr>
          <w:p w:rsidR="009A5889" w:rsidRPr="00C363ED" w:rsidRDefault="009A5889" w:rsidP="0026477D">
            <w:pPr>
              <w:spacing w:after="0" w:line="40" w:lineRule="atLeast"/>
            </w:pPr>
          </w:p>
        </w:tc>
        <w:tc>
          <w:tcPr>
            <w:tcW w:w="1548" w:type="dxa"/>
            <w:vAlign w:val="center"/>
          </w:tcPr>
          <w:p w:rsidR="009A5889" w:rsidRPr="00C363ED" w:rsidRDefault="009A5889" w:rsidP="0026477D">
            <w:pPr>
              <w:spacing w:after="0" w:line="40" w:lineRule="atLeast"/>
            </w:pPr>
            <w:r w:rsidRPr="00C363ED">
              <w:t>Before zinc supp.</w:t>
            </w:r>
          </w:p>
        </w:tc>
        <w:tc>
          <w:tcPr>
            <w:tcW w:w="1668" w:type="dxa"/>
            <w:vAlign w:val="center"/>
          </w:tcPr>
          <w:p w:rsidR="009A5889" w:rsidRPr="00C363ED" w:rsidRDefault="009A5889" w:rsidP="0026477D">
            <w:pPr>
              <w:spacing w:after="0" w:line="40" w:lineRule="atLeast"/>
            </w:pPr>
            <w:r w:rsidRPr="00C363ED">
              <w:t>After zinc supp.</w:t>
            </w:r>
          </w:p>
        </w:tc>
        <w:tc>
          <w:tcPr>
            <w:tcW w:w="1444" w:type="dxa"/>
            <w:vAlign w:val="center"/>
          </w:tcPr>
          <w:p w:rsidR="009A5889" w:rsidRPr="00C363ED" w:rsidRDefault="009A5889" w:rsidP="0026477D">
            <w:pPr>
              <w:spacing w:after="0" w:line="40" w:lineRule="atLeast"/>
            </w:pPr>
            <w:r w:rsidRPr="00C363ED">
              <w:t>t</w:t>
            </w:r>
          </w:p>
        </w:tc>
        <w:tc>
          <w:tcPr>
            <w:tcW w:w="1474" w:type="dxa"/>
            <w:vAlign w:val="center"/>
          </w:tcPr>
          <w:p w:rsidR="009A5889" w:rsidRPr="00C363ED" w:rsidRDefault="009A5889" w:rsidP="0026477D">
            <w:pPr>
              <w:spacing w:after="0" w:line="40" w:lineRule="atLeast"/>
            </w:pPr>
            <w:r w:rsidRPr="00C363ED">
              <w:t>P value</w:t>
            </w:r>
          </w:p>
        </w:tc>
      </w:tr>
      <w:tr w:rsidR="009A5889" w:rsidRPr="00C363ED">
        <w:trPr>
          <w:jc w:val="center"/>
        </w:trPr>
        <w:tc>
          <w:tcPr>
            <w:tcW w:w="1521" w:type="dxa"/>
            <w:vAlign w:val="center"/>
          </w:tcPr>
          <w:p w:rsidR="009A5889" w:rsidRPr="00C363ED" w:rsidRDefault="009A5889" w:rsidP="0026477D">
            <w:pPr>
              <w:spacing w:after="0" w:line="40" w:lineRule="atLeast"/>
            </w:pPr>
            <w:r w:rsidRPr="00C363ED">
              <w:t>Mean height(cm)</w:t>
            </w:r>
          </w:p>
        </w:tc>
        <w:tc>
          <w:tcPr>
            <w:tcW w:w="1548" w:type="dxa"/>
            <w:vAlign w:val="center"/>
          </w:tcPr>
          <w:p w:rsidR="009A5889" w:rsidRPr="00C363ED" w:rsidRDefault="009A5889" w:rsidP="0026477D">
            <w:pPr>
              <w:spacing w:after="0" w:line="40" w:lineRule="atLeast"/>
            </w:pPr>
            <w:r w:rsidRPr="00C363ED">
              <w:t>122.34±12.22</w:t>
            </w:r>
          </w:p>
        </w:tc>
        <w:tc>
          <w:tcPr>
            <w:tcW w:w="1668" w:type="dxa"/>
            <w:vAlign w:val="center"/>
          </w:tcPr>
          <w:p w:rsidR="009A5889" w:rsidRPr="00C363ED" w:rsidRDefault="009A5889" w:rsidP="0026477D">
            <w:pPr>
              <w:spacing w:after="0" w:line="40" w:lineRule="atLeast"/>
            </w:pPr>
            <w:r w:rsidRPr="00C363ED">
              <w:t>129.55±12.657</w:t>
            </w:r>
          </w:p>
        </w:tc>
        <w:tc>
          <w:tcPr>
            <w:tcW w:w="1444" w:type="dxa"/>
            <w:vAlign w:val="center"/>
          </w:tcPr>
          <w:p w:rsidR="009A5889" w:rsidRPr="00C363ED" w:rsidRDefault="009A5889" w:rsidP="0026477D">
            <w:pPr>
              <w:spacing w:after="0" w:line="40" w:lineRule="atLeast"/>
            </w:pPr>
            <w:r w:rsidRPr="00C363ED">
              <w:t>-11.584</w:t>
            </w:r>
          </w:p>
        </w:tc>
        <w:tc>
          <w:tcPr>
            <w:tcW w:w="1474" w:type="dxa"/>
            <w:vAlign w:val="center"/>
          </w:tcPr>
          <w:p w:rsidR="009A5889" w:rsidRPr="00C363ED" w:rsidRDefault="009A5889" w:rsidP="0026477D">
            <w:pPr>
              <w:spacing w:after="0" w:line="40" w:lineRule="atLeast"/>
            </w:pPr>
            <w:r w:rsidRPr="00C363ED">
              <w:t>&lt; 0.001*</w:t>
            </w:r>
          </w:p>
        </w:tc>
      </w:tr>
      <w:tr w:rsidR="009A5889" w:rsidRPr="00C363ED">
        <w:trPr>
          <w:jc w:val="center"/>
        </w:trPr>
        <w:tc>
          <w:tcPr>
            <w:tcW w:w="1521" w:type="dxa"/>
            <w:vAlign w:val="center"/>
          </w:tcPr>
          <w:p w:rsidR="009A5889" w:rsidRPr="00C363ED" w:rsidRDefault="009A5889" w:rsidP="0026477D">
            <w:pPr>
              <w:spacing w:after="0" w:line="40" w:lineRule="atLeast"/>
            </w:pPr>
            <w:r w:rsidRPr="00C363ED">
              <w:t>Mean serum zinc level (μg/dl)</w:t>
            </w:r>
          </w:p>
        </w:tc>
        <w:tc>
          <w:tcPr>
            <w:tcW w:w="1548" w:type="dxa"/>
            <w:vAlign w:val="center"/>
          </w:tcPr>
          <w:p w:rsidR="009A5889" w:rsidRPr="00C363ED" w:rsidRDefault="009A5889" w:rsidP="0026477D">
            <w:pPr>
              <w:spacing w:after="0" w:line="40" w:lineRule="atLeast"/>
            </w:pPr>
            <w:r w:rsidRPr="00C363ED">
              <w:t>66.429±6.226</w:t>
            </w:r>
          </w:p>
        </w:tc>
        <w:tc>
          <w:tcPr>
            <w:tcW w:w="1668" w:type="dxa"/>
            <w:vAlign w:val="center"/>
          </w:tcPr>
          <w:p w:rsidR="009A5889" w:rsidRPr="00C363ED" w:rsidRDefault="009A5889" w:rsidP="0026477D">
            <w:pPr>
              <w:spacing w:after="0" w:line="40" w:lineRule="atLeast"/>
            </w:pPr>
            <w:r w:rsidRPr="00C363ED">
              <w:t>69.810±6.577</w:t>
            </w:r>
          </w:p>
        </w:tc>
        <w:tc>
          <w:tcPr>
            <w:tcW w:w="1444" w:type="dxa"/>
            <w:vAlign w:val="center"/>
          </w:tcPr>
          <w:p w:rsidR="009A5889" w:rsidRPr="00C363ED" w:rsidRDefault="009A5889" w:rsidP="0026477D">
            <w:pPr>
              <w:spacing w:after="0" w:line="40" w:lineRule="atLeast"/>
            </w:pPr>
            <w:r w:rsidRPr="00C363ED">
              <w:t>-6.221</w:t>
            </w:r>
          </w:p>
        </w:tc>
        <w:tc>
          <w:tcPr>
            <w:tcW w:w="1474" w:type="dxa"/>
            <w:vAlign w:val="center"/>
          </w:tcPr>
          <w:p w:rsidR="009A5889" w:rsidRPr="00C363ED" w:rsidRDefault="009A5889" w:rsidP="0026477D">
            <w:pPr>
              <w:spacing w:after="0" w:line="40" w:lineRule="atLeast"/>
            </w:pPr>
            <w:r w:rsidRPr="00C363ED">
              <w:t>&lt; 0.001*</w:t>
            </w:r>
          </w:p>
        </w:tc>
      </w:tr>
      <w:tr w:rsidR="009A5889" w:rsidRPr="00C363ED">
        <w:trPr>
          <w:jc w:val="center"/>
        </w:trPr>
        <w:tc>
          <w:tcPr>
            <w:tcW w:w="1521" w:type="dxa"/>
            <w:vAlign w:val="center"/>
          </w:tcPr>
          <w:p w:rsidR="009A5889" w:rsidRPr="00C363ED" w:rsidRDefault="009A5889" w:rsidP="0026477D">
            <w:pPr>
              <w:spacing w:after="0" w:line="40" w:lineRule="atLeast"/>
            </w:pPr>
            <w:r w:rsidRPr="00C363ED">
              <w:t>Mean Z-score (SD)</w:t>
            </w:r>
          </w:p>
        </w:tc>
        <w:tc>
          <w:tcPr>
            <w:tcW w:w="1548" w:type="dxa"/>
            <w:vAlign w:val="center"/>
          </w:tcPr>
          <w:p w:rsidR="009A5889" w:rsidRPr="00C363ED" w:rsidRDefault="009A5889" w:rsidP="0026477D">
            <w:pPr>
              <w:spacing w:after="0" w:line="40" w:lineRule="atLeast"/>
            </w:pPr>
            <w:r w:rsidRPr="00C363ED">
              <w:t>-2.971±0.366</w:t>
            </w:r>
          </w:p>
        </w:tc>
        <w:tc>
          <w:tcPr>
            <w:tcW w:w="1668" w:type="dxa"/>
            <w:vAlign w:val="center"/>
          </w:tcPr>
          <w:p w:rsidR="009A5889" w:rsidRPr="00C363ED" w:rsidRDefault="009A5889" w:rsidP="0026477D">
            <w:pPr>
              <w:spacing w:after="0" w:line="40" w:lineRule="atLeast"/>
            </w:pPr>
            <w:r w:rsidRPr="00C363ED">
              <w:t>-2.400±0.460</w:t>
            </w:r>
          </w:p>
        </w:tc>
        <w:tc>
          <w:tcPr>
            <w:tcW w:w="1444" w:type="dxa"/>
            <w:vAlign w:val="center"/>
          </w:tcPr>
          <w:p w:rsidR="009A5889" w:rsidRPr="00C363ED" w:rsidRDefault="009A5889" w:rsidP="0026477D">
            <w:pPr>
              <w:spacing w:after="0" w:line="40" w:lineRule="atLeast"/>
            </w:pPr>
            <w:r w:rsidRPr="00C363ED">
              <w:t>-12.612</w:t>
            </w:r>
          </w:p>
        </w:tc>
        <w:tc>
          <w:tcPr>
            <w:tcW w:w="1474" w:type="dxa"/>
            <w:vAlign w:val="center"/>
          </w:tcPr>
          <w:p w:rsidR="009A5889" w:rsidRPr="00C363ED" w:rsidRDefault="009A5889" w:rsidP="0026477D">
            <w:pPr>
              <w:spacing w:after="0" w:line="40" w:lineRule="atLeast"/>
            </w:pPr>
            <w:r w:rsidRPr="00C363ED">
              <w:t>&lt; 0.001*</w:t>
            </w:r>
          </w:p>
        </w:tc>
      </w:tr>
    </w:tbl>
    <w:p w:rsidR="009A5889" w:rsidRPr="00C363ED" w:rsidRDefault="009A5889" w:rsidP="0026477D">
      <w:pPr>
        <w:spacing w:after="0" w:line="360" w:lineRule="auto"/>
        <w:ind w:firstLine="425"/>
        <w:jc w:val="both"/>
      </w:pPr>
    </w:p>
    <w:p w:rsidR="009A5889" w:rsidRPr="00C363ED" w:rsidRDefault="009A5889" w:rsidP="0026477D">
      <w:pPr>
        <w:spacing w:after="0" w:line="360" w:lineRule="auto"/>
        <w:ind w:firstLine="425"/>
        <w:jc w:val="both"/>
      </w:pPr>
      <w:r w:rsidRPr="00C363ED">
        <w:t>There was statistically significant difference in females when mean serumzinc, height and BMD Z-score were measures before and after zinc supplementation (P value &lt;0.001).</w:t>
      </w:r>
    </w:p>
    <w:p w:rsidR="009A5889" w:rsidRPr="00C363ED" w:rsidRDefault="009A5889" w:rsidP="0026477D">
      <w:pPr>
        <w:spacing w:after="0" w:line="360" w:lineRule="auto"/>
        <w:ind w:firstLine="425"/>
        <w:jc w:val="both"/>
      </w:pPr>
      <w:r w:rsidRPr="00C363ED">
        <w:t>Table (8): Male and female mean values for serum hemoglobin, WBCs, platelets, serum ferritin ,calcium, ALT, and hemoglobin electrophoresis before zinc supplementation.</w:t>
      </w:r>
    </w:p>
    <w:p w:rsidR="009A5889" w:rsidRPr="00C363ED" w:rsidRDefault="009A5889" w:rsidP="0026477D">
      <w:pPr>
        <w:spacing w:after="0" w:line="360" w:lineRule="auto"/>
        <w:ind w:firstLine="425"/>
        <w:jc w:val="both"/>
      </w:pPr>
    </w:p>
    <w:tbl>
      <w:tblPr>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49"/>
        <w:gridCol w:w="1260"/>
        <w:gridCol w:w="1007"/>
        <w:gridCol w:w="1239"/>
        <w:gridCol w:w="1239"/>
        <w:gridCol w:w="1174"/>
        <w:gridCol w:w="1174"/>
        <w:gridCol w:w="1062"/>
      </w:tblGrid>
      <w:tr w:rsidR="009A5889" w:rsidRPr="00C363ED">
        <w:trPr>
          <w:jc w:val="center"/>
        </w:trPr>
        <w:tc>
          <w:tcPr>
            <w:tcW w:w="1751" w:type="dxa"/>
          </w:tcPr>
          <w:p w:rsidR="009A5889" w:rsidRPr="00C363ED" w:rsidRDefault="009A5889" w:rsidP="0026477D">
            <w:pPr>
              <w:spacing w:after="0" w:line="40" w:lineRule="atLeast"/>
            </w:pPr>
          </w:p>
        </w:tc>
        <w:tc>
          <w:tcPr>
            <w:tcW w:w="1077" w:type="dxa"/>
          </w:tcPr>
          <w:p w:rsidR="009A5889" w:rsidRPr="00C363ED" w:rsidRDefault="009A5889" w:rsidP="0026477D">
            <w:pPr>
              <w:spacing w:after="0" w:line="40" w:lineRule="atLeast"/>
            </w:pPr>
            <w:r w:rsidRPr="00C363ED">
              <w:t>Gender</w:t>
            </w:r>
          </w:p>
        </w:tc>
        <w:tc>
          <w:tcPr>
            <w:tcW w:w="861" w:type="dxa"/>
          </w:tcPr>
          <w:p w:rsidR="009A5889" w:rsidRPr="00C363ED" w:rsidRDefault="009A5889" w:rsidP="0026477D">
            <w:pPr>
              <w:spacing w:after="0" w:line="40" w:lineRule="atLeast"/>
            </w:pPr>
            <w:r w:rsidRPr="00C363ED">
              <w:t>N</w:t>
            </w:r>
          </w:p>
        </w:tc>
        <w:tc>
          <w:tcPr>
            <w:tcW w:w="1059" w:type="dxa"/>
          </w:tcPr>
          <w:p w:rsidR="009A5889" w:rsidRPr="00C363ED" w:rsidRDefault="009A5889" w:rsidP="0026477D">
            <w:pPr>
              <w:spacing w:after="0" w:line="40" w:lineRule="atLeast"/>
            </w:pPr>
            <w:r w:rsidRPr="00C363ED">
              <w:t>Mean</w:t>
            </w:r>
          </w:p>
        </w:tc>
        <w:tc>
          <w:tcPr>
            <w:tcW w:w="1059" w:type="dxa"/>
          </w:tcPr>
          <w:p w:rsidR="009A5889" w:rsidRPr="00C363ED" w:rsidRDefault="009A5889" w:rsidP="0026477D">
            <w:pPr>
              <w:spacing w:after="0" w:line="40" w:lineRule="atLeast"/>
            </w:pPr>
            <w:r w:rsidRPr="00C363ED">
              <w:t>±SD</w:t>
            </w:r>
          </w:p>
        </w:tc>
        <w:tc>
          <w:tcPr>
            <w:tcW w:w="1003" w:type="dxa"/>
          </w:tcPr>
          <w:p w:rsidR="009A5889" w:rsidRPr="00C363ED" w:rsidRDefault="009A5889" w:rsidP="0026477D">
            <w:pPr>
              <w:spacing w:after="0" w:line="40" w:lineRule="atLeast"/>
            </w:pPr>
            <w:r w:rsidRPr="00C363ED">
              <w:t>t</w:t>
            </w:r>
          </w:p>
        </w:tc>
        <w:tc>
          <w:tcPr>
            <w:tcW w:w="1003" w:type="dxa"/>
          </w:tcPr>
          <w:p w:rsidR="009A5889" w:rsidRPr="00C363ED" w:rsidRDefault="009A5889" w:rsidP="0026477D">
            <w:pPr>
              <w:spacing w:after="0" w:line="40" w:lineRule="atLeast"/>
            </w:pPr>
            <w:r w:rsidRPr="00C363ED">
              <w:t>P value</w:t>
            </w:r>
          </w:p>
        </w:tc>
        <w:tc>
          <w:tcPr>
            <w:tcW w:w="908" w:type="dxa"/>
          </w:tcPr>
          <w:p w:rsidR="009A5889" w:rsidRPr="00C363ED" w:rsidRDefault="009A5889" w:rsidP="0026477D">
            <w:pPr>
              <w:spacing w:after="0" w:line="40" w:lineRule="atLeast"/>
            </w:pPr>
            <w:r w:rsidRPr="00C363ED">
              <w:t>sig.</w:t>
            </w:r>
          </w:p>
        </w:tc>
      </w:tr>
      <w:tr w:rsidR="009A5889" w:rsidRPr="00C363ED">
        <w:trPr>
          <w:trHeight w:val="231"/>
          <w:jc w:val="center"/>
        </w:trPr>
        <w:tc>
          <w:tcPr>
            <w:tcW w:w="1751" w:type="dxa"/>
            <w:vMerge w:val="restart"/>
          </w:tcPr>
          <w:p w:rsidR="009A5889" w:rsidRPr="00C363ED" w:rsidRDefault="009A5889" w:rsidP="0026477D">
            <w:pPr>
              <w:spacing w:after="0" w:line="40" w:lineRule="atLeast"/>
            </w:pPr>
            <w:r w:rsidRPr="00C363ED">
              <w:t>WBC(×10³/ml)</w:t>
            </w:r>
          </w:p>
        </w:tc>
        <w:tc>
          <w:tcPr>
            <w:tcW w:w="1077" w:type="dxa"/>
          </w:tcPr>
          <w:p w:rsidR="009A5889" w:rsidRPr="00C363ED" w:rsidRDefault="009A5889" w:rsidP="0026477D">
            <w:pPr>
              <w:spacing w:after="0" w:line="40" w:lineRule="atLeast"/>
            </w:pPr>
            <w:r w:rsidRPr="00C363ED">
              <w:t>M</w:t>
            </w:r>
          </w:p>
        </w:tc>
        <w:tc>
          <w:tcPr>
            <w:tcW w:w="861" w:type="dxa"/>
          </w:tcPr>
          <w:p w:rsidR="009A5889" w:rsidRPr="00C363ED" w:rsidRDefault="009A5889" w:rsidP="0026477D">
            <w:pPr>
              <w:spacing w:after="0" w:line="40" w:lineRule="atLeast"/>
            </w:pPr>
            <w:r w:rsidRPr="00C363ED">
              <w:t>19</w:t>
            </w:r>
          </w:p>
        </w:tc>
        <w:tc>
          <w:tcPr>
            <w:tcW w:w="1059" w:type="dxa"/>
          </w:tcPr>
          <w:p w:rsidR="009A5889" w:rsidRPr="00C363ED" w:rsidRDefault="009A5889" w:rsidP="0026477D">
            <w:pPr>
              <w:spacing w:after="0" w:line="40" w:lineRule="atLeast"/>
            </w:pPr>
            <w:r w:rsidRPr="00C363ED">
              <w:t>7.4</w:t>
            </w:r>
          </w:p>
        </w:tc>
        <w:tc>
          <w:tcPr>
            <w:tcW w:w="1059" w:type="dxa"/>
          </w:tcPr>
          <w:p w:rsidR="009A5889" w:rsidRPr="00C363ED" w:rsidRDefault="009A5889" w:rsidP="0026477D">
            <w:pPr>
              <w:spacing w:after="0" w:line="40" w:lineRule="atLeast"/>
            </w:pPr>
            <w:r w:rsidRPr="00C363ED">
              <w:t>2.7</w:t>
            </w:r>
          </w:p>
        </w:tc>
        <w:tc>
          <w:tcPr>
            <w:tcW w:w="1003" w:type="dxa"/>
            <w:vMerge w:val="restart"/>
          </w:tcPr>
          <w:p w:rsidR="009A5889" w:rsidRPr="00C363ED" w:rsidRDefault="009A5889" w:rsidP="0026477D">
            <w:pPr>
              <w:spacing w:after="0" w:line="40" w:lineRule="atLeast"/>
            </w:pPr>
            <w:r w:rsidRPr="00C363ED">
              <w:t>1.052</w:t>
            </w:r>
          </w:p>
        </w:tc>
        <w:tc>
          <w:tcPr>
            <w:tcW w:w="1003" w:type="dxa"/>
            <w:vMerge w:val="restart"/>
          </w:tcPr>
          <w:p w:rsidR="009A5889" w:rsidRPr="00C363ED" w:rsidRDefault="009A5889" w:rsidP="0026477D">
            <w:pPr>
              <w:spacing w:after="0" w:line="40" w:lineRule="atLeast"/>
            </w:pPr>
            <w:r w:rsidRPr="00C363ED">
              <w:t>0.282</w:t>
            </w:r>
          </w:p>
        </w:tc>
        <w:tc>
          <w:tcPr>
            <w:tcW w:w="908" w:type="dxa"/>
            <w:vMerge w:val="restart"/>
          </w:tcPr>
          <w:p w:rsidR="009A5889" w:rsidRPr="00C363ED" w:rsidRDefault="009A5889" w:rsidP="0026477D">
            <w:pPr>
              <w:spacing w:after="0" w:line="40" w:lineRule="atLeast"/>
            </w:pPr>
            <w:r w:rsidRPr="00C363ED">
              <w:t>NS</w:t>
            </w:r>
          </w:p>
        </w:tc>
      </w:tr>
      <w:tr w:rsidR="009A5889" w:rsidRPr="00C363ED">
        <w:trPr>
          <w:trHeight w:val="341"/>
          <w:jc w:val="center"/>
        </w:trPr>
        <w:tc>
          <w:tcPr>
            <w:tcW w:w="1751" w:type="dxa"/>
            <w:vMerge/>
          </w:tcPr>
          <w:p w:rsidR="009A5889" w:rsidRPr="00C363ED" w:rsidRDefault="009A5889" w:rsidP="0026477D">
            <w:pPr>
              <w:spacing w:after="0" w:line="40" w:lineRule="atLeast"/>
            </w:pPr>
          </w:p>
        </w:tc>
        <w:tc>
          <w:tcPr>
            <w:tcW w:w="1077" w:type="dxa"/>
          </w:tcPr>
          <w:p w:rsidR="009A5889" w:rsidRPr="00C363ED" w:rsidRDefault="009A5889" w:rsidP="0026477D">
            <w:pPr>
              <w:spacing w:after="0" w:line="40" w:lineRule="atLeast"/>
            </w:pPr>
            <w:r w:rsidRPr="00C363ED">
              <w:t>F</w:t>
            </w:r>
          </w:p>
        </w:tc>
        <w:tc>
          <w:tcPr>
            <w:tcW w:w="861" w:type="dxa"/>
          </w:tcPr>
          <w:p w:rsidR="009A5889" w:rsidRPr="00C363ED" w:rsidRDefault="009A5889" w:rsidP="0026477D">
            <w:pPr>
              <w:spacing w:after="0" w:line="40" w:lineRule="atLeast"/>
            </w:pPr>
            <w:r w:rsidRPr="00C363ED">
              <w:t>21</w:t>
            </w:r>
          </w:p>
        </w:tc>
        <w:tc>
          <w:tcPr>
            <w:tcW w:w="1059" w:type="dxa"/>
          </w:tcPr>
          <w:p w:rsidR="009A5889" w:rsidRPr="00C363ED" w:rsidRDefault="009A5889" w:rsidP="0026477D">
            <w:pPr>
              <w:spacing w:after="0" w:line="40" w:lineRule="atLeast"/>
            </w:pPr>
            <w:r w:rsidRPr="00C363ED">
              <w:t>6.9</w:t>
            </w:r>
          </w:p>
        </w:tc>
        <w:tc>
          <w:tcPr>
            <w:tcW w:w="1059" w:type="dxa"/>
          </w:tcPr>
          <w:p w:rsidR="009A5889" w:rsidRPr="00C363ED" w:rsidRDefault="009A5889" w:rsidP="0026477D">
            <w:pPr>
              <w:spacing w:after="0" w:line="40" w:lineRule="atLeast"/>
            </w:pPr>
            <w:r w:rsidRPr="00C363ED">
              <w:t>2.1</w:t>
            </w:r>
          </w:p>
        </w:tc>
        <w:tc>
          <w:tcPr>
            <w:tcW w:w="1003" w:type="dxa"/>
            <w:vMerge/>
          </w:tcPr>
          <w:p w:rsidR="009A5889" w:rsidRPr="00C363ED" w:rsidRDefault="009A5889" w:rsidP="0026477D">
            <w:pPr>
              <w:spacing w:after="0" w:line="40" w:lineRule="atLeast"/>
            </w:pPr>
          </w:p>
        </w:tc>
        <w:tc>
          <w:tcPr>
            <w:tcW w:w="1003" w:type="dxa"/>
            <w:vMerge/>
          </w:tcPr>
          <w:p w:rsidR="009A5889" w:rsidRPr="00C363ED" w:rsidRDefault="009A5889" w:rsidP="0026477D">
            <w:pPr>
              <w:spacing w:after="0" w:line="40" w:lineRule="atLeast"/>
            </w:pPr>
          </w:p>
        </w:tc>
        <w:tc>
          <w:tcPr>
            <w:tcW w:w="908" w:type="dxa"/>
            <w:vMerge/>
          </w:tcPr>
          <w:p w:rsidR="009A5889" w:rsidRPr="00C363ED" w:rsidRDefault="009A5889" w:rsidP="0026477D">
            <w:pPr>
              <w:spacing w:after="0" w:line="40" w:lineRule="atLeast"/>
            </w:pPr>
          </w:p>
        </w:tc>
      </w:tr>
      <w:tr w:rsidR="009A5889" w:rsidRPr="00C363ED">
        <w:trPr>
          <w:jc w:val="center"/>
        </w:trPr>
        <w:tc>
          <w:tcPr>
            <w:tcW w:w="1751" w:type="dxa"/>
            <w:vMerge w:val="restart"/>
          </w:tcPr>
          <w:p w:rsidR="009A5889" w:rsidRPr="00C363ED" w:rsidRDefault="009A5889" w:rsidP="0026477D">
            <w:pPr>
              <w:spacing w:after="0" w:line="40" w:lineRule="atLeast"/>
            </w:pPr>
            <w:r w:rsidRPr="00C363ED">
              <w:t>PLT.(×10³/ml)</w:t>
            </w:r>
          </w:p>
        </w:tc>
        <w:tc>
          <w:tcPr>
            <w:tcW w:w="1077" w:type="dxa"/>
          </w:tcPr>
          <w:p w:rsidR="009A5889" w:rsidRPr="00C363ED" w:rsidRDefault="009A5889" w:rsidP="0026477D">
            <w:pPr>
              <w:spacing w:after="0" w:line="40" w:lineRule="atLeast"/>
            </w:pPr>
            <w:r w:rsidRPr="00C363ED">
              <w:t>M</w:t>
            </w:r>
          </w:p>
        </w:tc>
        <w:tc>
          <w:tcPr>
            <w:tcW w:w="861" w:type="dxa"/>
          </w:tcPr>
          <w:p w:rsidR="009A5889" w:rsidRPr="00C363ED" w:rsidRDefault="009A5889" w:rsidP="0026477D">
            <w:pPr>
              <w:spacing w:after="0" w:line="40" w:lineRule="atLeast"/>
            </w:pPr>
            <w:r w:rsidRPr="00C363ED">
              <w:t>19</w:t>
            </w:r>
          </w:p>
        </w:tc>
        <w:tc>
          <w:tcPr>
            <w:tcW w:w="1059" w:type="dxa"/>
          </w:tcPr>
          <w:p w:rsidR="009A5889" w:rsidRPr="00C363ED" w:rsidRDefault="009A5889" w:rsidP="0026477D">
            <w:pPr>
              <w:spacing w:after="0" w:line="40" w:lineRule="atLeast"/>
            </w:pPr>
            <w:r w:rsidRPr="00C363ED">
              <w:t>320.2</w:t>
            </w:r>
          </w:p>
        </w:tc>
        <w:tc>
          <w:tcPr>
            <w:tcW w:w="1059" w:type="dxa"/>
          </w:tcPr>
          <w:p w:rsidR="009A5889" w:rsidRPr="00C363ED" w:rsidRDefault="009A5889" w:rsidP="0026477D">
            <w:pPr>
              <w:spacing w:after="0" w:line="40" w:lineRule="atLeast"/>
            </w:pPr>
            <w:r w:rsidRPr="00C363ED">
              <w:t>190.2</w:t>
            </w:r>
          </w:p>
        </w:tc>
        <w:tc>
          <w:tcPr>
            <w:tcW w:w="1003" w:type="dxa"/>
            <w:vMerge w:val="restart"/>
          </w:tcPr>
          <w:p w:rsidR="009A5889" w:rsidRPr="00C363ED" w:rsidRDefault="009A5889" w:rsidP="0026477D">
            <w:pPr>
              <w:spacing w:after="0" w:line="40" w:lineRule="atLeast"/>
            </w:pPr>
            <w:r w:rsidRPr="00C363ED">
              <w:t>1.974</w:t>
            </w:r>
          </w:p>
        </w:tc>
        <w:tc>
          <w:tcPr>
            <w:tcW w:w="1003" w:type="dxa"/>
            <w:vMerge w:val="restart"/>
          </w:tcPr>
          <w:p w:rsidR="009A5889" w:rsidRPr="00C363ED" w:rsidRDefault="009A5889" w:rsidP="0026477D">
            <w:pPr>
              <w:spacing w:after="0" w:line="40" w:lineRule="atLeast"/>
            </w:pPr>
            <w:r w:rsidRPr="00C363ED">
              <w:t>0.061</w:t>
            </w:r>
          </w:p>
        </w:tc>
        <w:tc>
          <w:tcPr>
            <w:tcW w:w="908" w:type="dxa"/>
            <w:vMerge w:val="restart"/>
          </w:tcPr>
          <w:p w:rsidR="009A5889" w:rsidRPr="00C363ED" w:rsidRDefault="009A5889" w:rsidP="0026477D">
            <w:pPr>
              <w:spacing w:after="0" w:line="40" w:lineRule="atLeast"/>
            </w:pPr>
            <w:r w:rsidRPr="00C363ED">
              <w:t>NS</w:t>
            </w:r>
          </w:p>
        </w:tc>
      </w:tr>
      <w:tr w:rsidR="009A5889" w:rsidRPr="00C363ED">
        <w:trPr>
          <w:jc w:val="center"/>
        </w:trPr>
        <w:tc>
          <w:tcPr>
            <w:tcW w:w="1751" w:type="dxa"/>
            <w:vMerge/>
          </w:tcPr>
          <w:p w:rsidR="009A5889" w:rsidRPr="00C363ED" w:rsidRDefault="009A5889" w:rsidP="0026477D">
            <w:pPr>
              <w:spacing w:after="0" w:line="40" w:lineRule="atLeast"/>
            </w:pPr>
          </w:p>
        </w:tc>
        <w:tc>
          <w:tcPr>
            <w:tcW w:w="1077" w:type="dxa"/>
          </w:tcPr>
          <w:p w:rsidR="009A5889" w:rsidRPr="00C363ED" w:rsidRDefault="009A5889" w:rsidP="0026477D">
            <w:pPr>
              <w:spacing w:after="0" w:line="40" w:lineRule="atLeast"/>
            </w:pPr>
            <w:r w:rsidRPr="00C363ED">
              <w:t>F</w:t>
            </w:r>
          </w:p>
        </w:tc>
        <w:tc>
          <w:tcPr>
            <w:tcW w:w="861" w:type="dxa"/>
          </w:tcPr>
          <w:p w:rsidR="009A5889" w:rsidRPr="00C363ED" w:rsidRDefault="009A5889" w:rsidP="0026477D">
            <w:pPr>
              <w:spacing w:after="0" w:line="40" w:lineRule="atLeast"/>
            </w:pPr>
            <w:r w:rsidRPr="00C363ED">
              <w:t>21</w:t>
            </w:r>
          </w:p>
        </w:tc>
        <w:tc>
          <w:tcPr>
            <w:tcW w:w="1059" w:type="dxa"/>
          </w:tcPr>
          <w:p w:rsidR="009A5889" w:rsidRPr="00C363ED" w:rsidRDefault="009A5889" w:rsidP="0026477D">
            <w:pPr>
              <w:spacing w:after="0" w:line="40" w:lineRule="atLeast"/>
            </w:pPr>
            <w:r w:rsidRPr="00C363ED">
              <w:t>331.4</w:t>
            </w:r>
          </w:p>
        </w:tc>
        <w:tc>
          <w:tcPr>
            <w:tcW w:w="1059" w:type="dxa"/>
          </w:tcPr>
          <w:p w:rsidR="009A5889" w:rsidRPr="00C363ED" w:rsidRDefault="009A5889" w:rsidP="0026477D">
            <w:pPr>
              <w:spacing w:after="0" w:line="40" w:lineRule="atLeast"/>
            </w:pPr>
            <w:r w:rsidRPr="00C363ED">
              <w:t>195.4</w:t>
            </w:r>
          </w:p>
        </w:tc>
        <w:tc>
          <w:tcPr>
            <w:tcW w:w="1003" w:type="dxa"/>
            <w:vMerge/>
          </w:tcPr>
          <w:p w:rsidR="009A5889" w:rsidRPr="00C363ED" w:rsidRDefault="009A5889" w:rsidP="0026477D">
            <w:pPr>
              <w:spacing w:after="0" w:line="40" w:lineRule="atLeast"/>
            </w:pPr>
          </w:p>
        </w:tc>
        <w:tc>
          <w:tcPr>
            <w:tcW w:w="1003" w:type="dxa"/>
            <w:vMerge/>
          </w:tcPr>
          <w:p w:rsidR="009A5889" w:rsidRPr="00C363ED" w:rsidRDefault="009A5889" w:rsidP="0026477D">
            <w:pPr>
              <w:spacing w:after="0" w:line="40" w:lineRule="atLeast"/>
            </w:pPr>
          </w:p>
        </w:tc>
        <w:tc>
          <w:tcPr>
            <w:tcW w:w="908" w:type="dxa"/>
            <w:vMerge/>
          </w:tcPr>
          <w:p w:rsidR="009A5889" w:rsidRPr="00C363ED" w:rsidRDefault="009A5889" w:rsidP="0026477D">
            <w:pPr>
              <w:spacing w:after="0" w:line="40" w:lineRule="atLeast"/>
            </w:pPr>
          </w:p>
        </w:tc>
      </w:tr>
      <w:tr w:rsidR="009A5889" w:rsidRPr="00C363ED">
        <w:trPr>
          <w:jc w:val="center"/>
        </w:trPr>
        <w:tc>
          <w:tcPr>
            <w:tcW w:w="1751" w:type="dxa"/>
            <w:vMerge w:val="restart"/>
          </w:tcPr>
          <w:p w:rsidR="009A5889" w:rsidRPr="00C363ED" w:rsidRDefault="009A5889" w:rsidP="0026477D">
            <w:pPr>
              <w:spacing w:after="0" w:line="40" w:lineRule="atLeast"/>
            </w:pPr>
            <w:r w:rsidRPr="00C363ED">
              <w:t>Hb(gm/dl)</w:t>
            </w:r>
          </w:p>
        </w:tc>
        <w:tc>
          <w:tcPr>
            <w:tcW w:w="1077" w:type="dxa"/>
          </w:tcPr>
          <w:p w:rsidR="009A5889" w:rsidRPr="00C363ED" w:rsidRDefault="009A5889" w:rsidP="0026477D">
            <w:pPr>
              <w:spacing w:after="0" w:line="40" w:lineRule="atLeast"/>
            </w:pPr>
            <w:r w:rsidRPr="00C363ED">
              <w:t>M</w:t>
            </w:r>
          </w:p>
        </w:tc>
        <w:tc>
          <w:tcPr>
            <w:tcW w:w="861" w:type="dxa"/>
          </w:tcPr>
          <w:p w:rsidR="009A5889" w:rsidRPr="00C363ED" w:rsidRDefault="009A5889" w:rsidP="0026477D">
            <w:pPr>
              <w:spacing w:after="0" w:line="40" w:lineRule="atLeast"/>
            </w:pPr>
            <w:r w:rsidRPr="00C363ED">
              <w:t>19</w:t>
            </w:r>
          </w:p>
        </w:tc>
        <w:tc>
          <w:tcPr>
            <w:tcW w:w="1059" w:type="dxa"/>
          </w:tcPr>
          <w:p w:rsidR="009A5889" w:rsidRPr="00C363ED" w:rsidRDefault="009A5889" w:rsidP="0026477D">
            <w:pPr>
              <w:spacing w:after="0" w:line="40" w:lineRule="atLeast"/>
            </w:pPr>
            <w:r w:rsidRPr="00C363ED">
              <w:t>6.2</w:t>
            </w:r>
          </w:p>
        </w:tc>
        <w:tc>
          <w:tcPr>
            <w:tcW w:w="1059" w:type="dxa"/>
          </w:tcPr>
          <w:p w:rsidR="009A5889" w:rsidRPr="00C363ED" w:rsidRDefault="009A5889" w:rsidP="0026477D">
            <w:pPr>
              <w:spacing w:after="0" w:line="40" w:lineRule="atLeast"/>
            </w:pPr>
            <w:r w:rsidRPr="00C363ED">
              <w:t>0.6</w:t>
            </w:r>
          </w:p>
        </w:tc>
        <w:tc>
          <w:tcPr>
            <w:tcW w:w="1003" w:type="dxa"/>
            <w:vMerge w:val="restart"/>
          </w:tcPr>
          <w:p w:rsidR="009A5889" w:rsidRPr="00C363ED" w:rsidRDefault="009A5889" w:rsidP="0026477D">
            <w:pPr>
              <w:spacing w:after="0" w:line="40" w:lineRule="atLeast"/>
            </w:pPr>
            <w:r w:rsidRPr="00C363ED">
              <w:t>2.615</w:t>
            </w:r>
          </w:p>
        </w:tc>
        <w:tc>
          <w:tcPr>
            <w:tcW w:w="1003" w:type="dxa"/>
            <w:vMerge w:val="restart"/>
          </w:tcPr>
          <w:p w:rsidR="009A5889" w:rsidRPr="00C363ED" w:rsidRDefault="009A5889" w:rsidP="0026477D">
            <w:pPr>
              <w:spacing w:after="0" w:line="40" w:lineRule="atLeast"/>
            </w:pPr>
            <w:r w:rsidRPr="00C363ED">
              <w:t>0.595</w:t>
            </w:r>
          </w:p>
        </w:tc>
        <w:tc>
          <w:tcPr>
            <w:tcW w:w="908" w:type="dxa"/>
            <w:vMerge w:val="restart"/>
          </w:tcPr>
          <w:p w:rsidR="009A5889" w:rsidRPr="00C363ED" w:rsidRDefault="009A5889" w:rsidP="0026477D">
            <w:pPr>
              <w:spacing w:after="0" w:line="40" w:lineRule="atLeast"/>
            </w:pPr>
            <w:r w:rsidRPr="00C363ED">
              <w:t>NS</w:t>
            </w:r>
          </w:p>
        </w:tc>
      </w:tr>
      <w:tr w:rsidR="009A5889" w:rsidRPr="00C363ED">
        <w:trPr>
          <w:jc w:val="center"/>
        </w:trPr>
        <w:tc>
          <w:tcPr>
            <w:tcW w:w="1751" w:type="dxa"/>
            <w:vMerge/>
          </w:tcPr>
          <w:p w:rsidR="009A5889" w:rsidRPr="00C363ED" w:rsidRDefault="009A5889" w:rsidP="0026477D">
            <w:pPr>
              <w:spacing w:after="0" w:line="40" w:lineRule="atLeast"/>
            </w:pPr>
          </w:p>
        </w:tc>
        <w:tc>
          <w:tcPr>
            <w:tcW w:w="1077" w:type="dxa"/>
          </w:tcPr>
          <w:p w:rsidR="009A5889" w:rsidRPr="00C363ED" w:rsidRDefault="009A5889" w:rsidP="0026477D">
            <w:pPr>
              <w:spacing w:after="0" w:line="40" w:lineRule="atLeast"/>
            </w:pPr>
            <w:r w:rsidRPr="00C363ED">
              <w:t>F</w:t>
            </w:r>
          </w:p>
        </w:tc>
        <w:tc>
          <w:tcPr>
            <w:tcW w:w="861" w:type="dxa"/>
          </w:tcPr>
          <w:p w:rsidR="009A5889" w:rsidRPr="00C363ED" w:rsidRDefault="009A5889" w:rsidP="0026477D">
            <w:pPr>
              <w:spacing w:after="0" w:line="40" w:lineRule="atLeast"/>
            </w:pPr>
            <w:r w:rsidRPr="00C363ED">
              <w:t>21</w:t>
            </w:r>
          </w:p>
        </w:tc>
        <w:tc>
          <w:tcPr>
            <w:tcW w:w="1059" w:type="dxa"/>
          </w:tcPr>
          <w:p w:rsidR="009A5889" w:rsidRPr="00C363ED" w:rsidRDefault="009A5889" w:rsidP="0026477D">
            <w:pPr>
              <w:spacing w:after="0" w:line="40" w:lineRule="atLeast"/>
            </w:pPr>
            <w:r w:rsidRPr="00C363ED">
              <w:t>6.8</w:t>
            </w:r>
          </w:p>
        </w:tc>
        <w:tc>
          <w:tcPr>
            <w:tcW w:w="1059" w:type="dxa"/>
          </w:tcPr>
          <w:p w:rsidR="009A5889" w:rsidRPr="00C363ED" w:rsidRDefault="009A5889" w:rsidP="0026477D">
            <w:pPr>
              <w:spacing w:after="0" w:line="40" w:lineRule="atLeast"/>
            </w:pPr>
            <w:r w:rsidRPr="00C363ED">
              <w:t>0.6</w:t>
            </w:r>
          </w:p>
        </w:tc>
        <w:tc>
          <w:tcPr>
            <w:tcW w:w="1003" w:type="dxa"/>
            <w:vMerge/>
          </w:tcPr>
          <w:p w:rsidR="009A5889" w:rsidRPr="00C363ED" w:rsidRDefault="009A5889" w:rsidP="0026477D">
            <w:pPr>
              <w:spacing w:after="0" w:line="40" w:lineRule="atLeast"/>
            </w:pPr>
          </w:p>
        </w:tc>
        <w:tc>
          <w:tcPr>
            <w:tcW w:w="1003" w:type="dxa"/>
            <w:vMerge/>
          </w:tcPr>
          <w:p w:rsidR="009A5889" w:rsidRPr="00C363ED" w:rsidRDefault="009A5889" w:rsidP="0026477D">
            <w:pPr>
              <w:spacing w:after="0" w:line="40" w:lineRule="atLeast"/>
            </w:pPr>
          </w:p>
        </w:tc>
        <w:tc>
          <w:tcPr>
            <w:tcW w:w="908" w:type="dxa"/>
            <w:vMerge/>
          </w:tcPr>
          <w:p w:rsidR="009A5889" w:rsidRPr="00C363ED" w:rsidRDefault="009A5889" w:rsidP="0026477D">
            <w:pPr>
              <w:spacing w:after="0" w:line="40" w:lineRule="atLeast"/>
            </w:pPr>
          </w:p>
        </w:tc>
      </w:tr>
      <w:tr w:rsidR="009A5889" w:rsidRPr="00C363ED">
        <w:trPr>
          <w:trHeight w:val="252"/>
          <w:jc w:val="center"/>
        </w:trPr>
        <w:tc>
          <w:tcPr>
            <w:tcW w:w="1751" w:type="dxa"/>
            <w:vMerge w:val="restart"/>
          </w:tcPr>
          <w:p w:rsidR="009A5889" w:rsidRPr="00C363ED" w:rsidRDefault="009A5889" w:rsidP="0026477D">
            <w:pPr>
              <w:spacing w:after="0" w:line="40" w:lineRule="atLeast"/>
            </w:pPr>
            <w:r w:rsidRPr="00C363ED">
              <w:t>Serum ferritin(ng/ml)</w:t>
            </w:r>
          </w:p>
        </w:tc>
        <w:tc>
          <w:tcPr>
            <w:tcW w:w="1077" w:type="dxa"/>
          </w:tcPr>
          <w:p w:rsidR="009A5889" w:rsidRPr="00C363ED" w:rsidRDefault="009A5889" w:rsidP="0026477D">
            <w:pPr>
              <w:spacing w:after="0" w:line="40" w:lineRule="atLeast"/>
            </w:pPr>
            <w:r w:rsidRPr="00C363ED">
              <w:t>M</w:t>
            </w:r>
          </w:p>
        </w:tc>
        <w:tc>
          <w:tcPr>
            <w:tcW w:w="861" w:type="dxa"/>
          </w:tcPr>
          <w:p w:rsidR="009A5889" w:rsidRPr="00C363ED" w:rsidRDefault="009A5889" w:rsidP="0026477D">
            <w:pPr>
              <w:spacing w:after="0" w:line="40" w:lineRule="atLeast"/>
            </w:pPr>
            <w:r w:rsidRPr="00C363ED">
              <w:t>19</w:t>
            </w:r>
          </w:p>
        </w:tc>
        <w:tc>
          <w:tcPr>
            <w:tcW w:w="1059" w:type="dxa"/>
          </w:tcPr>
          <w:p w:rsidR="009A5889" w:rsidRPr="00C363ED" w:rsidRDefault="009A5889" w:rsidP="0026477D">
            <w:pPr>
              <w:spacing w:after="0" w:line="40" w:lineRule="atLeast"/>
            </w:pPr>
            <w:r w:rsidRPr="00C363ED">
              <w:t>3755.5</w:t>
            </w:r>
          </w:p>
        </w:tc>
        <w:tc>
          <w:tcPr>
            <w:tcW w:w="1059" w:type="dxa"/>
          </w:tcPr>
          <w:p w:rsidR="009A5889" w:rsidRPr="00C363ED" w:rsidRDefault="009A5889" w:rsidP="0026477D">
            <w:pPr>
              <w:spacing w:after="0" w:line="40" w:lineRule="atLeast"/>
            </w:pPr>
            <w:r w:rsidRPr="00C363ED">
              <w:t>2011.2</w:t>
            </w:r>
          </w:p>
        </w:tc>
        <w:tc>
          <w:tcPr>
            <w:tcW w:w="1003" w:type="dxa"/>
            <w:vMerge w:val="restart"/>
          </w:tcPr>
          <w:p w:rsidR="009A5889" w:rsidRPr="00C363ED" w:rsidRDefault="009A5889" w:rsidP="0026477D">
            <w:pPr>
              <w:spacing w:after="0" w:line="40" w:lineRule="atLeast"/>
            </w:pPr>
            <w:r w:rsidRPr="00C363ED">
              <w:t>0.541</w:t>
            </w:r>
          </w:p>
        </w:tc>
        <w:tc>
          <w:tcPr>
            <w:tcW w:w="1003" w:type="dxa"/>
            <w:vMerge w:val="restart"/>
          </w:tcPr>
          <w:p w:rsidR="009A5889" w:rsidRPr="00C363ED" w:rsidRDefault="009A5889" w:rsidP="0026477D">
            <w:pPr>
              <w:spacing w:after="0" w:line="40" w:lineRule="atLeast"/>
            </w:pPr>
            <w:r w:rsidRPr="00C363ED">
              <w:t>0.601</w:t>
            </w:r>
          </w:p>
        </w:tc>
        <w:tc>
          <w:tcPr>
            <w:tcW w:w="908" w:type="dxa"/>
            <w:vMerge w:val="restart"/>
          </w:tcPr>
          <w:p w:rsidR="009A5889" w:rsidRPr="00C363ED" w:rsidRDefault="009A5889" w:rsidP="0026477D">
            <w:pPr>
              <w:spacing w:after="0" w:line="40" w:lineRule="atLeast"/>
            </w:pPr>
            <w:r w:rsidRPr="00C363ED">
              <w:t>NS</w:t>
            </w:r>
          </w:p>
        </w:tc>
      </w:tr>
      <w:tr w:rsidR="009A5889" w:rsidRPr="00C363ED">
        <w:trPr>
          <w:trHeight w:val="251"/>
          <w:jc w:val="center"/>
        </w:trPr>
        <w:tc>
          <w:tcPr>
            <w:tcW w:w="1751" w:type="dxa"/>
            <w:vMerge/>
          </w:tcPr>
          <w:p w:rsidR="009A5889" w:rsidRPr="00C363ED" w:rsidRDefault="009A5889" w:rsidP="0026477D">
            <w:pPr>
              <w:spacing w:after="0" w:line="40" w:lineRule="atLeast"/>
            </w:pPr>
          </w:p>
        </w:tc>
        <w:tc>
          <w:tcPr>
            <w:tcW w:w="1077" w:type="dxa"/>
          </w:tcPr>
          <w:p w:rsidR="009A5889" w:rsidRPr="00C363ED" w:rsidRDefault="009A5889" w:rsidP="0026477D">
            <w:pPr>
              <w:spacing w:after="0" w:line="40" w:lineRule="atLeast"/>
            </w:pPr>
            <w:r w:rsidRPr="00C363ED">
              <w:t>F</w:t>
            </w:r>
          </w:p>
        </w:tc>
        <w:tc>
          <w:tcPr>
            <w:tcW w:w="861" w:type="dxa"/>
          </w:tcPr>
          <w:p w:rsidR="009A5889" w:rsidRPr="00C363ED" w:rsidRDefault="009A5889" w:rsidP="0026477D">
            <w:pPr>
              <w:spacing w:after="0" w:line="40" w:lineRule="atLeast"/>
            </w:pPr>
            <w:r w:rsidRPr="00C363ED">
              <w:t>21</w:t>
            </w:r>
          </w:p>
        </w:tc>
        <w:tc>
          <w:tcPr>
            <w:tcW w:w="1059" w:type="dxa"/>
          </w:tcPr>
          <w:p w:rsidR="009A5889" w:rsidRPr="00C363ED" w:rsidRDefault="009A5889" w:rsidP="0026477D">
            <w:pPr>
              <w:spacing w:after="0" w:line="40" w:lineRule="atLeast"/>
            </w:pPr>
            <w:r w:rsidRPr="00C363ED">
              <w:t>3659.4</w:t>
            </w:r>
          </w:p>
        </w:tc>
        <w:tc>
          <w:tcPr>
            <w:tcW w:w="1059" w:type="dxa"/>
          </w:tcPr>
          <w:p w:rsidR="009A5889" w:rsidRPr="00C363ED" w:rsidRDefault="009A5889" w:rsidP="0026477D">
            <w:pPr>
              <w:spacing w:after="0" w:line="40" w:lineRule="atLeast"/>
            </w:pPr>
            <w:r w:rsidRPr="00C363ED">
              <w:t>2056.4</w:t>
            </w:r>
          </w:p>
        </w:tc>
        <w:tc>
          <w:tcPr>
            <w:tcW w:w="1003" w:type="dxa"/>
            <w:vMerge/>
          </w:tcPr>
          <w:p w:rsidR="009A5889" w:rsidRPr="00C363ED" w:rsidRDefault="009A5889" w:rsidP="0026477D">
            <w:pPr>
              <w:spacing w:after="0" w:line="40" w:lineRule="atLeast"/>
            </w:pPr>
          </w:p>
        </w:tc>
        <w:tc>
          <w:tcPr>
            <w:tcW w:w="1003" w:type="dxa"/>
            <w:vMerge/>
          </w:tcPr>
          <w:p w:rsidR="009A5889" w:rsidRPr="00C363ED" w:rsidRDefault="009A5889" w:rsidP="0026477D">
            <w:pPr>
              <w:spacing w:after="0" w:line="40" w:lineRule="atLeast"/>
            </w:pPr>
          </w:p>
        </w:tc>
        <w:tc>
          <w:tcPr>
            <w:tcW w:w="908" w:type="dxa"/>
            <w:vMerge/>
          </w:tcPr>
          <w:p w:rsidR="009A5889" w:rsidRPr="00C363ED" w:rsidRDefault="009A5889" w:rsidP="0026477D">
            <w:pPr>
              <w:spacing w:after="0" w:line="40" w:lineRule="atLeast"/>
            </w:pPr>
          </w:p>
        </w:tc>
      </w:tr>
      <w:tr w:rsidR="009A5889" w:rsidRPr="00C363ED">
        <w:trPr>
          <w:trHeight w:val="123"/>
          <w:jc w:val="center"/>
        </w:trPr>
        <w:tc>
          <w:tcPr>
            <w:tcW w:w="1751" w:type="dxa"/>
            <w:vMerge w:val="restart"/>
          </w:tcPr>
          <w:p w:rsidR="009A5889" w:rsidRPr="00C363ED" w:rsidRDefault="009A5889" w:rsidP="0026477D">
            <w:pPr>
              <w:spacing w:after="0" w:line="40" w:lineRule="atLeast"/>
            </w:pPr>
            <w:r w:rsidRPr="00C363ED">
              <w:t>ALT(iu/L)</w:t>
            </w:r>
          </w:p>
        </w:tc>
        <w:tc>
          <w:tcPr>
            <w:tcW w:w="1077" w:type="dxa"/>
          </w:tcPr>
          <w:p w:rsidR="009A5889" w:rsidRPr="00C363ED" w:rsidRDefault="009A5889" w:rsidP="0026477D">
            <w:pPr>
              <w:spacing w:after="0" w:line="40" w:lineRule="atLeast"/>
            </w:pPr>
            <w:r w:rsidRPr="00C363ED">
              <w:t>M</w:t>
            </w:r>
          </w:p>
        </w:tc>
        <w:tc>
          <w:tcPr>
            <w:tcW w:w="861" w:type="dxa"/>
          </w:tcPr>
          <w:p w:rsidR="009A5889" w:rsidRPr="00C363ED" w:rsidRDefault="009A5889" w:rsidP="0026477D">
            <w:pPr>
              <w:spacing w:after="0" w:line="40" w:lineRule="atLeast"/>
            </w:pPr>
            <w:r w:rsidRPr="00C363ED">
              <w:t>19</w:t>
            </w:r>
          </w:p>
        </w:tc>
        <w:tc>
          <w:tcPr>
            <w:tcW w:w="1059" w:type="dxa"/>
          </w:tcPr>
          <w:p w:rsidR="009A5889" w:rsidRPr="00C363ED" w:rsidRDefault="009A5889" w:rsidP="0026477D">
            <w:pPr>
              <w:spacing w:after="0" w:line="40" w:lineRule="atLeast"/>
            </w:pPr>
            <w:r w:rsidRPr="00C363ED">
              <w:t>49.7</w:t>
            </w:r>
          </w:p>
        </w:tc>
        <w:tc>
          <w:tcPr>
            <w:tcW w:w="1059" w:type="dxa"/>
          </w:tcPr>
          <w:p w:rsidR="009A5889" w:rsidRPr="00C363ED" w:rsidRDefault="009A5889" w:rsidP="0026477D">
            <w:pPr>
              <w:spacing w:after="0" w:line="40" w:lineRule="atLeast"/>
            </w:pPr>
            <w:r w:rsidRPr="00C363ED">
              <w:t>22.9</w:t>
            </w:r>
          </w:p>
        </w:tc>
        <w:tc>
          <w:tcPr>
            <w:tcW w:w="1003" w:type="dxa"/>
            <w:vMerge w:val="restart"/>
          </w:tcPr>
          <w:p w:rsidR="009A5889" w:rsidRPr="00C363ED" w:rsidRDefault="009A5889" w:rsidP="0026477D">
            <w:pPr>
              <w:spacing w:after="0" w:line="40" w:lineRule="atLeast"/>
            </w:pPr>
            <w:r w:rsidRPr="00C363ED">
              <w:t>0.079</w:t>
            </w:r>
          </w:p>
        </w:tc>
        <w:tc>
          <w:tcPr>
            <w:tcW w:w="1003" w:type="dxa"/>
            <w:vMerge w:val="restart"/>
          </w:tcPr>
          <w:p w:rsidR="009A5889" w:rsidRPr="00C363ED" w:rsidRDefault="009A5889" w:rsidP="0026477D">
            <w:pPr>
              <w:spacing w:after="0" w:line="40" w:lineRule="atLeast"/>
            </w:pPr>
            <w:r w:rsidRPr="00C363ED">
              <w:t>0.922</w:t>
            </w:r>
          </w:p>
        </w:tc>
        <w:tc>
          <w:tcPr>
            <w:tcW w:w="908" w:type="dxa"/>
            <w:vMerge w:val="restart"/>
          </w:tcPr>
          <w:p w:rsidR="009A5889" w:rsidRPr="00C363ED" w:rsidRDefault="009A5889" w:rsidP="0026477D">
            <w:pPr>
              <w:spacing w:after="0" w:line="40" w:lineRule="atLeast"/>
            </w:pPr>
            <w:r w:rsidRPr="00C363ED">
              <w:t>NS</w:t>
            </w:r>
          </w:p>
        </w:tc>
      </w:tr>
      <w:tr w:rsidR="009A5889" w:rsidRPr="00C363ED">
        <w:trPr>
          <w:trHeight w:val="122"/>
          <w:jc w:val="center"/>
        </w:trPr>
        <w:tc>
          <w:tcPr>
            <w:tcW w:w="1751" w:type="dxa"/>
            <w:vMerge/>
          </w:tcPr>
          <w:p w:rsidR="009A5889" w:rsidRPr="00C363ED" w:rsidRDefault="009A5889" w:rsidP="0026477D">
            <w:pPr>
              <w:spacing w:after="0" w:line="40" w:lineRule="atLeast"/>
            </w:pPr>
          </w:p>
        </w:tc>
        <w:tc>
          <w:tcPr>
            <w:tcW w:w="1077" w:type="dxa"/>
          </w:tcPr>
          <w:p w:rsidR="009A5889" w:rsidRPr="00C363ED" w:rsidRDefault="009A5889" w:rsidP="0026477D">
            <w:pPr>
              <w:spacing w:after="0" w:line="40" w:lineRule="atLeast"/>
            </w:pPr>
            <w:r w:rsidRPr="00C363ED">
              <w:t>F</w:t>
            </w:r>
          </w:p>
        </w:tc>
        <w:tc>
          <w:tcPr>
            <w:tcW w:w="861" w:type="dxa"/>
          </w:tcPr>
          <w:p w:rsidR="009A5889" w:rsidRPr="00C363ED" w:rsidRDefault="009A5889" w:rsidP="0026477D">
            <w:pPr>
              <w:spacing w:after="0" w:line="40" w:lineRule="atLeast"/>
            </w:pPr>
            <w:r w:rsidRPr="00C363ED">
              <w:t>21</w:t>
            </w:r>
          </w:p>
        </w:tc>
        <w:tc>
          <w:tcPr>
            <w:tcW w:w="1059" w:type="dxa"/>
          </w:tcPr>
          <w:p w:rsidR="009A5889" w:rsidRPr="00C363ED" w:rsidRDefault="009A5889" w:rsidP="0026477D">
            <w:pPr>
              <w:spacing w:after="0" w:line="40" w:lineRule="atLeast"/>
            </w:pPr>
            <w:r w:rsidRPr="00C363ED">
              <w:t>50.2</w:t>
            </w:r>
          </w:p>
        </w:tc>
        <w:tc>
          <w:tcPr>
            <w:tcW w:w="1059" w:type="dxa"/>
          </w:tcPr>
          <w:p w:rsidR="009A5889" w:rsidRPr="00C363ED" w:rsidRDefault="009A5889" w:rsidP="0026477D">
            <w:pPr>
              <w:spacing w:after="0" w:line="40" w:lineRule="atLeast"/>
            </w:pPr>
            <w:r w:rsidRPr="00C363ED">
              <w:t>24.4</w:t>
            </w:r>
          </w:p>
        </w:tc>
        <w:tc>
          <w:tcPr>
            <w:tcW w:w="1003" w:type="dxa"/>
            <w:vMerge/>
          </w:tcPr>
          <w:p w:rsidR="009A5889" w:rsidRPr="00C363ED" w:rsidRDefault="009A5889" w:rsidP="0026477D">
            <w:pPr>
              <w:spacing w:after="0" w:line="40" w:lineRule="atLeast"/>
            </w:pPr>
          </w:p>
        </w:tc>
        <w:tc>
          <w:tcPr>
            <w:tcW w:w="1003" w:type="dxa"/>
            <w:vMerge/>
          </w:tcPr>
          <w:p w:rsidR="009A5889" w:rsidRPr="00C363ED" w:rsidRDefault="009A5889" w:rsidP="0026477D">
            <w:pPr>
              <w:spacing w:after="0" w:line="40" w:lineRule="atLeast"/>
            </w:pPr>
          </w:p>
        </w:tc>
        <w:tc>
          <w:tcPr>
            <w:tcW w:w="908" w:type="dxa"/>
            <w:vMerge/>
          </w:tcPr>
          <w:p w:rsidR="009A5889" w:rsidRPr="00C363ED" w:rsidRDefault="009A5889" w:rsidP="0026477D">
            <w:pPr>
              <w:spacing w:after="0" w:line="40" w:lineRule="atLeast"/>
            </w:pPr>
          </w:p>
        </w:tc>
      </w:tr>
      <w:tr w:rsidR="009A5889" w:rsidRPr="00C363ED">
        <w:trPr>
          <w:trHeight w:val="252"/>
          <w:jc w:val="center"/>
        </w:trPr>
        <w:tc>
          <w:tcPr>
            <w:tcW w:w="1751" w:type="dxa"/>
            <w:vMerge w:val="restart"/>
          </w:tcPr>
          <w:p w:rsidR="009A5889" w:rsidRPr="00C363ED" w:rsidRDefault="009A5889" w:rsidP="0026477D">
            <w:pPr>
              <w:spacing w:after="0" w:line="40" w:lineRule="atLeast"/>
            </w:pPr>
            <w:r w:rsidRPr="00C363ED">
              <w:t>Serum calcium(mg/dl)</w:t>
            </w:r>
          </w:p>
        </w:tc>
        <w:tc>
          <w:tcPr>
            <w:tcW w:w="1077" w:type="dxa"/>
          </w:tcPr>
          <w:p w:rsidR="009A5889" w:rsidRPr="00C363ED" w:rsidRDefault="009A5889" w:rsidP="0026477D">
            <w:pPr>
              <w:spacing w:after="0" w:line="40" w:lineRule="atLeast"/>
            </w:pPr>
            <w:r w:rsidRPr="00C363ED">
              <w:t>M</w:t>
            </w:r>
          </w:p>
        </w:tc>
        <w:tc>
          <w:tcPr>
            <w:tcW w:w="861" w:type="dxa"/>
          </w:tcPr>
          <w:p w:rsidR="009A5889" w:rsidRPr="00C363ED" w:rsidRDefault="009A5889" w:rsidP="0026477D">
            <w:pPr>
              <w:spacing w:after="0" w:line="40" w:lineRule="atLeast"/>
            </w:pPr>
            <w:r w:rsidRPr="00C363ED">
              <w:t>19</w:t>
            </w:r>
          </w:p>
        </w:tc>
        <w:tc>
          <w:tcPr>
            <w:tcW w:w="1059" w:type="dxa"/>
          </w:tcPr>
          <w:p w:rsidR="009A5889" w:rsidRPr="00C363ED" w:rsidRDefault="009A5889" w:rsidP="0026477D">
            <w:pPr>
              <w:spacing w:after="0" w:line="40" w:lineRule="atLeast"/>
            </w:pPr>
            <w:r w:rsidRPr="00C363ED">
              <w:t>9.79</w:t>
            </w:r>
          </w:p>
        </w:tc>
        <w:tc>
          <w:tcPr>
            <w:tcW w:w="1059" w:type="dxa"/>
          </w:tcPr>
          <w:p w:rsidR="009A5889" w:rsidRPr="00C363ED" w:rsidRDefault="009A5889" w:rsidP="0026477D">
            <w:pPr>
              <w:spacing w:after="0" w:line="40" w:lineRule="atLeast"/>
            </w:pPr>
            <w:r w:rsidRPr="00C363ED">
              <w:t>0.59</w:t>
            </w:r>
          </w:p>
        </w:tc>
        <w:tc>
          <w:tcPr>
            <w:tcW w:w="1003" w:type="dxa"/>
            <w:vMerge w:val="restart"/>
          </w:tcPr>
          <w:p w:rsidR="009A5889" w:rsidRPr="00C363ED" w:rsidRDefault="009A5889" w:rsidP="0026477D">
            <w:pPr>
              <w:spacing w:after="0" w:line="40" w:lineRule="atLeast"/>
            </w:pPr>
            <w:r w:rsidRPr="00C363ED">
              <w:t>2.822</w:t>
            </w:r>
          </w:p>
        </w:tc>
        <w:tc>
          <w:tcPr>
            <w:tcW w:w="1003" w:type="dxa"/>
            <w:vMerge w:val="restart"/>
          </w:tcPr>
          <w:p w:rsidR="009A5889" w:rsidRPr="00C363ED" w:rsidRDefault="009A5889" w:rsidP="0026477D">
            <w:pPr>
              <w:spacing w:after="0" w:line="40" w:lineRule="atLeast"/>
            </w:pPr>
            <w:r w:rsidRPr="00C363ED">
              <w:t>0.625</w:t>
            </w:r>
          </w:p>
        </w:tc>
        <w:tc>
          <w:tcPr>
            <w:tcW w:w="908" w:type="dxa"/>
            <w:vMerge w:val="restart"/>
          </w:tcPr>
          <w:p w:rsidR="009A5889" w:rsidRPr="00C363ED" w:rsidRDefault="009A5889" w:rsidP="0026477D">
            <w:pPr>
              <w:spacing w:after="0" w:line="40" w:lineRule="atLeast"/>
            </w:pPr>
            <w:r w:rsidRPr="00C363ED">
              <w:t>NS</w:t>
            </w:r>
          </w:p>
        </w:tc>
      </w:tr>
      <w:tr w:rsidR="009A5889" w:rsidRPr="00C363ED">
        <w:trPr>
          <w:trHeight w:val="251"/>
          <w:jc w:val="center"/>
        </w:trPr>
        <w:tc>
          <w:tcPr>
            <w:tcW w:w="1751" w:type="dxa"/>
            <w:vMerge/>
          </w:tcPr>
          <w:p w:rsidR="009A5889" w:rsidRPr="00C363ED" w:rsidRDefault="009A5889" w:rsidP="0026477D">
            <w:pPr>
              <w:spacing w:after="0" w:line="40" w:lineRule="atLeast"/>
            </w:pPr>
          </w:p>
        </w:tc>
        <w:tc>
          <w:tcPr>
            <w:tcW w:w="1077" w:type="dxa"/>
          </w:tcPr>
          <w:p w:rsidR="009A5889" w:rsidRPr="00C363ED" w:rsidRDefault="009A5889" w:rsidP="0026477D">
            <w:pPr>
              <w:spacing w:after="0" w:line="40" w:lineRule="atLeast"/>
            </w:pPr>
            <w:r w:rsidRPr="00C363ED">
              <w:t>F</w:t>
            </w:r>
          </w:p>
        </w:tc>
        <w:tc>
          <w:tcPr>
            <w:tcW w:w="861" w:type="dxa"/>
          </w:tcPr>
          <w:p w:rsidR="009A5889" w:rsidRPr="00C363ED" w:rsidRDefault="009A5889" w:rsidP="0026477D">
            <w:pPr>
              <w:spacing w:after="0" w:line="40" w:lineRule="atLeast"/>
            </w:pPr>
            <w:r w:rsidRPr="00C363ED">
              <w:t>21</w:t>
            </w:r>
          </w:p>
        </w:tc>
        <w:tc>
          <w:tcPr>
            <w:tcW w:w="1059" w:type="dxa"/>
          </w:tcPr>
          <w:p w:rsidR="009A5889" w:rsidRPr="00C363ED" w:rsidRDefault="009A5889" w:rsidP="0026477D">
            <w:pPr>
              <w:spacing w:after="0" w:line="40" w:lineRule="atLeast"/>
            </w:pPr>
            <w:r w:rsidRPr="00C363ED">
              <w:t>9.92</w:t>
            </w:r>
          </w:p>
        </w:tc>
        <w:tc>
          <w:tcPr>
            <w:tcW w:w="1059" w:type="dxa"/>
          </w:tcPr>
          <w:p w:rsidR="009A5889" w:rsidRPr="00C363ED" w:rsidRDefault="009A5889" w:rsidP="0026477D">
            <w:pPr>
              <w:spacing w:after="0" w:line="40" w:lineRule="atLeast"/>
            </w:pPr>
            <w:r w:rsidRPr="00C363ED">
              <w:t>0.61</w:t>
            </w:r>
          </w:p>
        </w:tc>
        <w:tc>
          <w:tcPr>
            <w:tcW w:w="1003" w:type="dxa"/>
            <w:vMerge/>
          </w:tcPr>
          <w:p w:rsidR="009A5889" w:rsidRPr="00C363ED" w:rsidRDefault="009A5889" w:rsidP="0026477D">
            <w:pPr>
              <w:spacing w:after="0" w:line="40" w:lineRule="atLeast"/>
            </w:pPr>
          </w:p>
        </w:tc>
        <w:tc>
          <w:tcPr>
            <w:tcW w:w="1003" w:type="dxa"/>
            <w:vMerge/>
          </w:tcPr>
          <w:p w:rsidR="009A5889" w:rsidRPr="00C363ED" w:rsidRDefault="009A5889" w:rsidP="0026477D">
            <w:pPr>
              <w:spacing w:after="0" w:line="40" w:lineRule="atLeast"/>
            </w:pPr>
          </w:p>
        </w:tc>
        <w:tc>
          <w:tcPr>
            <w:tcW w:w="908" w:type="dxa"/>
            <w:vMerge/>
          </w:tcPr>
          <w:p w:rsidR="009A5889" w:rsidRPr="00C363ED" w:rsidRDefault="009A5889" w:rsidP="0026477D">
            <w:pPr>
              <w:spacing w:after="0" w:line="40" w:lineRule="atLeast"/>
            </w:pPr>
          </w:p>
        </w:tc>
      </w:tr>
      <w:tr w:rsidR="009A5889" w:rsidRPr="00C363ED">
        <w:trPr>
          <w:trHeight w:val="123"/>
          <w:jc w:val="center"/>
        </w:trPr>
        <w:tc>
          <w:tcPr>
            <w:tcW w:w="1751" w:type="dxa"/>
            <w:vMerge w:val="restart"/>
          </w:tcPr>
          <w:p w:rsidR="009A5889" w:rsidRPr="00C363ED" w:rsidRDefault="009A5889" w:rsidP="0026477D">
            <w:pPr>
              <w:spacing w:after="0" w:line="40" w:lineRule="atLeast"/>
            </w:pPr>
            <w:r w:rsidRPr="00C363ED">
              <w:t>Hb.elecroph.</w:t>
            </w:r>
          </w:p>
          <w:p w:rsidR="009A5889" w:rsidRPr="00C363ED" w:rsidRDefault="009A5889" w:rsidP="0026477D">
            <w:pPr>
              <w:spacing w:after="0" w:line="40" w:lineRule="atLeast"/>
            </w:pPr>
            <w:r w:rsidRPr="00C363ED">
              <w:t>Hb.F %</w:t>
            </w:r>
          </w:p>
        </w:tc>
        <w:tc>
          <w:tcPr>
            <w:tcW w:w="1077" w:type="dxa"/>
          </w:tcPr>
          <w:p w:rsidR="009A5889" w:rsidRPr="00C363ED" w:rsidRDefault="009A5889" w:rsidP="0026477D">
            <w:pPr>
              <w:spacing w:after="0" w:line="40" w:lineRule="atLeast"/>
            </w:pPr>
            <w:r w:rsidRPr="00C363ED">
              <w:t>M</w:t>
            </w:r>
          </w:p>
        </w:tc>
        <w:tc>
          <w:tcPr>
            <w:tcW w:w="861" w:type="dxa"/>
          </w:tcPr>
          <w:p w:rsidR="009A5889" w:rsidRPr="00C363ED" w:rsidRDefault="009A5889" w:rsidP="0026477D">
            <w:pPr>
              <w:spacing w:after="0" w:line="40" w:lineRule="atLeast"/>
            </w:pPr>
            <w:r w:rsidRPr="00C363ED">
              <w:t>19</w:t>
            </w:r>
          </w:p>
        </w:tc>
        <w:tc>
          <w:tcPr>
            <w:tcW w:w="1059" w:type="dxa"/>
          </w:tcPr>
          <w:p w:rsidR="009A5889" w:rsidRPr="00C363ED" w:rsidRDefault="009A5889" w:rsidP="0026477D">
            <w:pPr>
              <w:spacing w:after="0" w:line="40" w:lineRule="atLeast"/>
            </w:pPr>
            <w:r w:rsidRPr="00C363ED">
              <w:t>56.77</w:t>
            </w:r>
          </w:p>
        </w:tc>
        <w:tc>
          <w:tcPr>
            <w:tcW w:w="1059" w:type="dxa"/>
          </w:tcPr>
          <w:p w:rsidR="009A5889" w:rsidRPr="00C363ED" w:rsidRDefault="009A5889" w:rsidP="0026477D">
            <w:pPr>
              <w:spacing w:after="0" w:line="40" w:lineRule="atLeast"/>
            </w:pPr>
            <w:r w:rsidRPr="00C363ED">
              <w:t>26.4</w:t>
            </w:r>
          </w:p>
        </w:tc>
        <w:tc>
          <w:tcPr>
            <w:tcW w:w="1003" w:type="dxa"/>
            <w:vMerge w:val="restart"/>
          </w:tcPr>
          <w:p w:rsidR="009A5889" w:rsidRPr="00C363ED" w:rsidRDefault="009A5889" w:rsidP="0026477D">
            <w:pPr>
              <w:spacing w:after="0" w:line="40" w:lineRule="atLeast"/>
            </w:pPr>
            <w:r w:rsidRPr="00C363ED">
              <w:t>0.082</w:t>
            </w:r>
          </w:p>
        </w:tc>
        <w:tc>
          <w:tcPr>
            <w:tcW w:w="1003" w:type="dxa"/>
            <w:vMerge w:val="restart"/>
          </w:tcPr>
          <w:p w:rsidR="009A5889" w:rsidRPr="00C363ED" w:rsidRDefault="009A5889" w:rsidP="0026477D">
            <w:pPr>
              <w:spacing w:after="0" w:line="40" w:lineRule="atLeast"/>
            </w:pPr>
            <w:r w:rsidRPr="00C363ED">
              <w:t>0.982</w:t>
            </w:r>
          </w:p>
        </w:tc>
        <w:tc>
          <w:tcPr>
            <w:tcW w:w="908" w:type="dxa"/>
            <w:vMerge w:val="restart"/>
          </w:tcPr>
          <w:p w:rsidR="009A5889" w:rsidRPr="00C363ED" w:rsidRDefault="009A5889" w:rsidP="0026477D">
            <w:pPr>
              <w:spacing w:after="0" w:line="40" w:lineRule="atLeast"/>
            </w:pPr>
            <w:r w:rsidRPr="00C363ED">
              <w:t>NS</w:t>
            </w:r>
          </w:p>
        </w:tc>
      </w:tr>
      <w:tr w:rsidR="009A5889" w:rsidRPr="00C363ED">
        <w:trPr>
          <w:trHeight w:val="122"/>
          <w:jc w:val="center"/>
        </w:trPr>
        <w:tc>
          <w:tcPr>
            <w:tcW w:w="1751" w:type="dxa"/>
            <w:vMerge/>
          </w:tcPr>
          <w:p w:rsidR="009A5889" w:rsidRPr="00C363ED" w:rsidRDefault="009A5889" w:rsidP="0026477D">
            <w:pPr>
              <w:spacing w:after="0" w:line="40" w:lineRule="atLeast"/>
            </w:pPr>
          </w:p>
        </w:tc>
        <w:tc>
          <w:tcPr>
            <w:tcW w:w="1077" w:type="dxa"/>
          </w:tcPr>
          <w:p w:rsidR="009A5889" w:rsidRPr="00C363ED" w:rsidRDefault="009A5889" w:rsidP="0026477D">
            <w:pPr>
              <w:spacing w:after="0" w:line="40" w:lineRule="atLeast"/>
            </w:pPr>
            <w:r w:rsidRPr="00C363ED">
              <w:t>F</w:t>
            </w:r>
          </w:p>
        </w:tc>
        <w:tc>
          <w:tcPr>
            <w:tcW w:w="861" w:type="dxa"/>
          </w:tcPr>
          <w:p w:rsidR="009A5889" w:rsidRPr="00C363ED" w:rsidRDefault="009A5889" w:rsidP="0026477D">
            <w:pPr>
              <w:spacing w:after="0" w:line="40" w:lineRule="atLeast"/>
            </w:pPr>
            <w:r w:rsidRPr="00C363ED">
              <w:t>21</w:t>
            </w:r>
          </w:p>
        </w:tc>
        <w:tc>
          <w:tcPr>
            <w:tcW w:w="1059" w:type="dxa"/>
          </w:tcPr>
          <w:p w:rsidR="009A5889" w:rsidRPr="00C363ED" w:rsidRDefault="009A5889" w:rsidP="0026477D">
            <w:pPr>
              <w:spacing w:after="0" w:line="40" w:lineRule="atLeast"/>
            </w:pPr>
            <w:r w:rsidRPr="00C363ED">
              <w:t>54.51</w:t>
            </w:r>
          </w:p>
        </w:tc>
        <w:tc>
          <w:tcPr>
            <w:tcW w:w="1059" w:type="dxa"/>
          </w:tcPr>
          <w:p w:rsidR="009A5889" w:rsidRPr="00C363ED" w:rsidRDefault="009A5889" w:rsidP="0026477D">
            <w:pPr>
              <w:spacing w:after="0" w:line="40" w:lineRule="atLeast"/>
            </w:pPr>
            <w:r w:rsidRPr="00C363ED">
              <w:t>23.6</w:t>
            </w:r>
          </w:p>
        </w:tc>
        <w:tc>
          <w:tcPr>
            <w:tcW w:w="1003" w:type="dxa"/>
            <w:vMerge/>
          </w:tcPr>
          <w:p w:rsidR="009A5889" w:rsidRPr="00C363ED" w:rsidRDefault="009A5889" w:rsidP="0026477D">
            <w:pPr>
              <w:spacing w:after="0" w:line="40" w:lineRule="atLeast"/>
            </w:pPr>
          </w:p>
        </w:tc>
        <w:tc>
          <w:tcPr>
            <w:tcW w:w="1003" w:type="dxa"/>
            <w:vMerge/>
          </w:tcPr>
          <w:p w:rsidR="009A5889" w:rsidRPr="00C363ED" w:rsidRDefault="009A5889" w:rsidP="0026477D">
            <w:pPr>
              <w:spacing w:after="0" w:line="40" w:lineRule="atLeast"/>
            </w:pPr>
          </w:p>
        </w:tc>
        <w:tc>
          <w:tcPr>
            <w:tcW w:w="908" w:type="dxa"/>
            <w:vMerge/>
          </w:tcPr>
          <w:p w:rsidR="009A5889" w:rsidRPr="00C363ED" w:rsidRDefault="009A5889" w:rsidP="0026477D">
            <w:pPr>
              <w:spacing w:after="0" w:line="40" w:lineRule="atLeast"/>
            </w:pPr>
          </w:p>
        </w:tc>
      </w:tr>
      <w:tr w:rsidR="009A5889" w:rsidRPr="00C363ED">
        <w:trPr>
          <w:trHeight w:val="123"/>
          <w:jc w:val="center"/>
        </w:trPr>
        <w:tc>
          <w:tcPr>
            <w:tcW w:w="1751" w:type="dxa"/>
            <w:vMerge w:val="restart"/>
          </w:tcPr>
          <w:p w:rsidR="009A5889" w:rsidRPr="00C363ED" w:rsidRDefault="009A5889" w:rsidP="0026477D">
            <w:pPr>
              <w:spacing w:after="0" w:line="40" w:lineRule="atLeast"/>
            </w:pPr>
            <w:r w:rsidRPr="00C363ED">
              <w:t>BMI</w:t>
            </w:r>
          </w:p>
        </w:tc>
        <w:tc>
          <w:tcPr>
            <w:tcW w:w="1077" w:type="dxa"/>
          </w:tcPr>
          <w:p w:rsidR="009A5889" w:rsidRPr="00C363ED" w:rsidRDefault="009A5889" w:rsidP="0026477D">
            <w:pPr>
              <w:spacing w:after="0" w:line="40" w:lineRule="atLeast"/>
            </w:pPr>
            <w:r w:rsidRPr="00C363ED">
              <w:t>M</w:t>
            </w:r>
          </w:p>
        </w:tc>
        <w:tc>
          <w:tcPr>
            <w:tcW w:w="861" w:type="dxa"/>
          </w:tcPr>
          <w:p w:rsidR="009A5889" w:rsidRPr="00C363ED" w:rsidRDefault="009A5889" w:rsidP="0026477D">
            <w:pPr>
              <w:spacing w:after="0" w:line="40" w:lineRule="atLeast"/>
            </w:pPr>
            <w:r w:rsidRPr="00C363ED">
              <w:t>19</w:t>
            </w:r>
          </w:p>
        </w:tc>
        <w:tc>
          <w:tcPr>
            <w:tcW w:w="1059" w:type="dxa"/>
          </w:tcPr>
          <w:p w:rsidR="009A5889" w:rsidRPr="00C363ED" w:rsidRDefault="009A5889" w:rsidP="0026477D">
            <w:pPr>
              <w:spacing w:after="0" w:line="40" w:lineRule="atLeast"/>
            </w:pPr>
            <w:r w:rsidRPr="00C363ED">
              <w:t>19.4</w:t>
            </w:r>
          </w:p>
        </w:tc>
        <w:tc>
          <w:tcPr>
            <w:tcW w:w="1059" w:type="dxa"/>
          </w:tcPr>
          <w:p w:rsidR="009A5889" w:rsidRPr="00C363ED" w:rsidRDefault="009A5889" w:rsidP="0026477D">
            <w:pPr>
              <w:spacing w:after="0" w:line="40" w:lineRule="atLeast"/>
            </w:pPr>
            <w:r w:rsidRPr="00C363ED">
              <w:t>10.8</w:t>
            </w:r>
          </w:p>
        </w:tc>
        <w:tc>
          <w:tcPr>
            <w:tcW w:w="1003" w:type="dxa"/>
            <w:vMerge w:val="restart"/>
          </w:tcPr>
          <w:p w:rsidR="009A5889" w:rsidRPr="00C363ED" w:rsidRDefault="009A5889" w:rsidP="0026477D">
            <w:pPr>
              <w:spacing w:after="0" w:line="40" w:lineRule="atLeast"/>
            </w:pPr>
            <w:r w:rsidRPr="00C363ED">
              <w:t>0.455</w:t>
            </w:r>
          </w:p>
        </w:tc>
        <w:tc>
          <w:tcPr>
            <w:tcW w:w="1003" w:type="dxa"/>
            <w:vMerge w:val="restart"/>
          </w:tcPr>
          <w:p w:rsidR="009A5889" w:rsidRPr="00C363ED" w:rsidRDefault="009A5889" w:rsidP="0026477D">
            <w:pPr>
              <w:spacing w:after="0" w:line="40" w:lineRule="atLeast"/>
            </w:pPr>
            <w:r w:rsidRPr="00C363ED">
              <w:t>0.422</w:t>
            </w:r>
          </w:p>
        </w:tc>
        <w:tc>
          <w:tcPr>
            <w:tcW w:w="908" w:type="dxa"/>
            <w:vMerge w:val="restart"/>
          </w:tcPr>
          <w:p w:rsidR="009A5889" w:rsidRPr="00C363ED" w:rsidRDefault="009A5889" w:rsidP="0026477D">
            <w:pPr>
              <w:spacing w:after="0" w:line="40" w:lineRule="atLeast"/>
            </w:pPr>
            <w:r w:rsidRPr="00C363ED">
              <w:t>NS</w:t>
            </w:r>
          </w:p>
        </w:tc>
      </w:tr>
      <w:tr w:rsidR="009A5889" w:rsidRPr="00C363ED">
        <w:trPr>
          <w:trHeight w:val="122"/>
          <w:jc w:val="center"/>
        </w:trPr>
        <w:tc>
          <w:tcPr>
            <w:tcW w:w="1751" w:type="dxa"/>
            <w:vMerge/>
          </w:tcPr>
          <w:p w:rsidR="009A5889" w:rsidRPr="00C363ED" w:rsidRDefault="009A5889" w:rsidP="0026477D">
            <w:pPr>
              <w:spacing w:after="0" w:line="40" w:lineRule="atLeast"/>
            </w:pPr>
          </w:p>
        </w:tc>
        <w:tc>
          <w:tcPr>
            <w:tcW w:w="1077" w:type="dxa"/>
          </w:tcPr>
          <w:p w:rsidR="009A5889" w:rsidRPr="00C363ED" w:rsidRDefault="009A5889" w:rsidP="0026477D">
            <w:pPr>
              <w:spacing w:after="0" w:line="40" w:lineRule="atLeast"/>
            </w:pPr>
            <w:r w:rsidRPr="00C363ED">
              <w:t>F</w:t>
            </w:r>
          </w:p>
        </w:tc>
        <w:tc>
          <w:tcPr>
            <w:tcW w:w="861" w:type="dxa"/>
          </w:tcPr>
          <w:p w:rsidR="009A5889" w:rsidRPr="00C363ED" w:rsidRDefault="009A5889" w:rsidP="0026477D">
            <w:pPr>
              <w:spacing w:after="0" w:line="40" w:lineRule="atLeast"/>
            </w:pPr>
            <w:r w:rsidRPr="00C363ED">
              <w:t>21</w:t>
            </w:r>
          </w:p>
        </w:tc>
        <w:tc>
          <w:tcPr>
            <w:tcW w:w="1059" w:type="dxa"/>
          </w:tcPr>
          <w:p w:rsidR="009A5889" w:rsidRPr="00C363ED" w:rsidRDefault="009A5889" w:rsidP="0026477D">
            <w:pPr>
              <w:spacing w:after="0" w:line="40" w:lineRule="atLeast"/>
            </w:pPr>
            <w:r w:rsidRPr="00C363ED">
              <w:t>19.6</w:t>
            </w:r>
          </w:p>
        </w:tc>
        <w:tc>
          <w:tcPr>
            <w:tcW w:w="1059" w:type="dxa"/>
          </w:tcPr>
          <w:p w:rsidR="009A5889" w:rsidRPr="00C363ED" w:rsidRDefault="009A5889" w:rsidP="0026477D">
            <w:pPr>
              <w:spacing w:after="0" w:line="40" w:lineRule="atLeast"/>
            </w:pPr>
            <w:r w:rsidRPr="00C363ED">
              <w:t>10.9</w:t>
            </w:r>
          </w:p>
        </w:tc>
        <w:tc>
          <w:tcPr>
            <w:tcW w:w="1003" w:type="dxa"/>
            <w:vMerge/>
          </w:tcPr>
          <w:p w:rsidR="009A5889" w:rsidRPr="00C363ED" w:rsidRDefault="009A5889" w:rsidP="0026477D">
            <w:pPr>
              <w:spacing w:after="0" w:line="40" w:lineRule="atLeast"/>
            </w:pPr>
          </w:p>
        </w:tc>
        <w:tc>
          <w:tcPr>
            <w:tcW w:w="1003" w:type="dxa"/>
            <w:vMerge/>
          </w:tcPr>
          <w:p w:rsidR="009A5889" w:rsidRPr="00C363ED" w:rsidRDefault="009A5889" w:rsidP="0026477D">
            <w:pPr>
              <w:spacing w:after="0" w:line="40" w:lineRule="atLeast"/>
            </w:pPr>
          </w:p>
        </w:tc>
        <w:tc>
          <w:tcPr>
            <w:tcW w:w="908" w:type="dxa"/>
            <w:vMerge/>
          </w:tcPr>
          <w:p w:rsidR="009A5889" w:rsidRPr="00C363ED" w:rsidRDefault="009A5889" w:rsidP="0026477D">
            <w:pPr>
              <w:spacing w:after="0" w:line="40" w:lineRule="atLeast"/>
            </w:pPr>
          </w:p>
        </w:tc>
      </w:tr>
    </w:tbl>
    <w:p w:rsidR="009A5889" w:rsidRPr="00C363ED" w:rsidRDefault="009A5889" w:rsidP="0026477D">
      <w:pPr>
        <w:spacing w:after="0" w:line="360" w:lineRule="auto"/>
        <w:ind w:firstLine="425"/>
        <w:jc w:val="both"/>
      </w:pPr>
    </w:p>
    <w:p w:rsidR="009A5889" w:rsidRPr="00C363ED" w:rsidRDefault="009A5889" w:rsidP="0026477D">
      <w:pPr>
        <w:spacing w:after="0" w:line="360" w:lineRule="auto"/>
        <w:ind w:firstLine="425"/>
        <w:jc w:val="both"/>
      </w:pPr>
      <w:r w:rsidRPr="00C363ED">
        <w:t>Before zinc supplementation there was nostatistically significant difference between males and femalesregarding the mean values for serum hemoglobin, WBCs, platelets, serum ferritin , calcium, ALT, and hemoglobin electrophoresis (P value&gt; 0.05).</w:t>
      </w:r>
    </w:p>
    <w:p w:rsidR="009A5889" w:rsidRPr="00C363ED" w:rsidRDefault="009A5889" w:rsidP="0026477D">
      <w:pPr>
        <w:spacing w:after="0" w:line="360" w:lineRule="auto"/>
        <w:ind w:firstLine="425"/>
        <w:jc w:val="both"/>
      </w:pPr>
      <w:r w:rsidRPr="00C363ED">
        <w:t>Discussion:</w:t>
      </w:r>
    </w:p>
    <w:p w:rsidR="009A5889" w:rsidRPr="00C363ED" w:rsidRDefault="009A5889" w:rsidP="0026477D">
      <w:pPr>
        <w:spacing w:after="0" w:line="360" w:lineRule="auto"/>
        <w:ind w:firstLine="425"/>
        <w:jc w:val="both"/>
      </w:pPr>
      <w:r w:rsidRPr="00C363ED">
        <w:t>In the present study the impact of zinc supplementation on linear growth and bone mineral density in prepubertalthalassemic children was evaluated.Serum zinc level was measured prior to zinc supplementation.Serum zinc level ranged between 52μg/dl and 86μg/dl (mean 67.925 ± 6.896 μg/dl). Ninety five percent of the patients undergoing this study showed low serum zinc level (less than 80μg/dl) ,and only five percent showed normal level (≥ 80μg/dl).These findings come near to those obtained by many authors[23-25].</w:t>
      </w:r>
    </w:p>
    <w:p w:rsidR="009A5889" w:rsidRPr="00C363ED" w:rsidRDefault="009A5889" w:rsidP="0026477D">
      <w:pPr>
        <w:spacing w:after="0" w:line="360" w:lineRule="auto"/>
        <w:ind w:firstLine="425"/>
        <w:jc w:val="both"/>
      </w:pPr>
      <w:r w:rsidRPr="00C363ED">
        <w:t>With respect to reference cut-off point of serum zinc level (80 μg/dl), 27.5% of patients in this study presented with mild zinc deficiency, with serum zinc level ranging  between 70μg/dl and 79μg/dl. Those presented with moderate zinc deficiency (60-69μg/dl) were %62.5. Severe deficiency (50-59μg/dl) was reported in only 5% of patients.</w:t>
      </w:r>
    </w:p>
    <w:p w:rsidR="009A5889" w:rsidRPr="00C363ED" w:rsidRDefault="009A5889" w:rsidP="0026477D">
      <w:pPr>
        <w:spacing w:after="0" w:line="360" w:lineRule="auto"/>
        <w:ind w:firstLine="425"/>
        <w:jc w:val="both"/>
      </w:pPr>
      <w:r w:rsidRPr="00C363ED">
        <w:t>Although Keikhaei et al, 2010 showed hypozincemia in 50 % of their patients, 20% of their patients had severe zinc deficiency[26]. This might be because older patients were involved in their study, with mean age 15±5 years.</w:t>
      </w:r>
    </w:p>
    <w:p w:rsidR="009A5889" w:rsidRPr="00C363ED" w:rsidRDefault="009A5889" w:rsidP="0026477D">
      <w:pPr>
        <w:spacing w:after="0" w:line="360" w:lineRule="auto"/>
        <w:ind w:firstLine="425"/>
        <w:jc w:val="both"/>
      </w:pPr>
      <w:r w:rsidRPr="00C363ED">
        <w:t>Many studies reported decreased serum zinc level in thalassemic patients.Arcasoy et al, (2001)reported that chronic Zn deficiency occur in the patients with thalassemia major (TM), but they stressed on the importance of measuring serum zinc binding capacity (ZnBC) to evaluate body zinc status. They postulated that Zn deficiency in TM may be due to hyperzincuria, high ferritin levels, hepatic iron load and hepatic dysfunction. The study has been carried out on 30 TM patients. As control group, 13 healthy children were involved. Serum Zn and ZnBC were determined by atomic absorption, then saturation index (SI%: serum Zn/ZnBC x 100) was calculated. Serum Zn levels in all patients were lower than control (p &lt; 0.01). Serum ZnBC was found to be lower in TM patients than control (p &lt; 0.01).</w:t>
      </w:r>
    </w:p>
    <w:p w:rsidR="009A5889" w:rsidRPr="00C363ED" w:rsidRDefault="009A5889" w:rsidP="0026477D">
      <w:pPr>
        <w:spacing w:after="0" w:line="360" w:lineRule="auto"/>
        <w:ind w:firstLine="425"/>
        <w:jc w:val="both"/>
      </w:pPr>
      <w:r w:rsidRPr="00C363ED">
        <w:t xml:space="preserve">        While serum Zn levels decrease and ZnBC increase in nutritional Zn deficiency, serum Zn levels decrease but ZnBC doesn't increase in patients with thalassemia[23].</w:t>
      </w:r>
    </w:p>
    <w:p w:rsidR="009A5889" w:rsidRPr="00C363ED" w:rsidRDefault="009A5889" w:rsidP="0026477D">
      <w:pPr>
        <w:spacing w:after="0" w:line="360" w:lineRule="auto"/>
        <w:ind w:firstLine="425"/>
        <w:jc w:val="both"/>
      </w:pPr>
      <w:r w:rsidRPr="00C363ED">
        <w:t>Tabatabei et al, (2003) reported that 84% of ß-thalassemia major patients had zinc deficiency[27].Fikry et al, (2003) found apositive correlation between serum level and height/age[24].</w:t>
      </w:r>
    </w:p>
    <w:p w:rsidR="009A5889" w:rsidRPr="00C363ED" w:rsidRDefault="009A5889" w:rsidP="0026477D">
      <w:pPr>
        <w:spacing w:after="0" w:line="360" w:lineRule="auto"/>
        <w:ind w:firstLine="425"/>
        <w:jc w:val="both"/>
      </w:pPr>
      <w:r w:rsidRPr="00C363ED">
        <w:t>Bekheiia et al,( 2004), reported that low serum zinc was found in 84.8% of their patients. Hypozincemia was severe in 44.7% of them. Patients under this study were aged 10–20 years. The above mentioned study might suggest that the severity of hypozincemia increases with age .This probably might pay the attention for early zinc supplementation to avoid the negative impact of zinc deficiency in older age[28].</w:t>
      </w:r>
    </w:p>
    <w:p w:rsidR="009A5889" w:rsidRPr="00C363ED" w:rsidRDefault="009A5889" w:rsidP="0026477D">
      <w:pPr>
        <w:spacing w:after="0" w:line="360" w:lineRule="auto"/>
        <w:ind w:firstLine="425"/>
        <w:jc w:val="both"/>
      </w:pPr>
      <w:r w:rsidRPr="00C363ED">
        <w:t>Mahyar et al, (2010) in their study proved low serum zinc level in thalassemic children[29].Keikhaei et al,( 2010)showed hypozincemia in 50 % of their patients in a similar study[26].Sherief et al, (2014), showed significantly lower level of zinc in thalassemic group than controls[25].</w:t>
      </w:r>
    </w:p>
    <w:p w:rsidR="009A5889" w:rsidRPr="00C363ED" w:rsidRDefault="009A5889" w:rsidP="0026477D">
      <w:pPr>
        <w:spacing w:after="0" w:line="360" w:lineRule="auto"/>
        <w:ind w:firstLine="425"/>
        <w:jc w:val="both"/>
      </w:pPr>
      <w:r w:rsidRPr="00C363ED">
        <w:tab/>
        <w:t>Contrary to the results of the former studies, Kosarian et al, (2000) and Reshadat et al,( 2006)found that serum zinc level in their thalassemic patients and controls was within normal limits[30, 31].</w:t>
      </w:r>
    </w:p>
    <w:p w:rsidR="009A5889" w:rsidRPr="00C363ED" w:rsidRDefault="009A5889" w:rsidP="0026477D">
      <w:pPr>
        <w:spacing w:after="0" w:line="360" w:lineRule="auto"/>
        <w:ind w:firstLine="425"/>
        <w:jc w:val="both"/>
      </w:pPr>
      <w:r w:rsidRPr="00C363ED">
        <w:t>Mehdizadeh et al,( 2008)found that zinc deficiency in thalassemic patients who are on regular blood transfusion is rare[32].</w:t>
      </w:r>
    </w:p>
    <w:p w:rsidR="009A5889" w:rsidRPr="00C363ED" w:rsidRDefault="009A5889" w:rsidP="0026477D">
      <w:pPr>
        <w:spacing w:after="0" w:line="360" w:lineRule="auto"/>
        <w:ind w:firstLine="425"/>
        <w:jc w:val="both"/>
        <w:rPr>
          <w:rtl/>
        </w:rPr>
      </w:pPr>
      <w:r w:rsidRPr="00C363ED">
        <w:tab/>
        <w:t>Before zinc supplementation  BMD Z- score for the patients in the study sample ranged between -3.9 and -2.6 (mean -3.008 ± 0.410). After zinc was supplemented for one year,BMD Z-score ranged between -3.7 and -1.8 (mean -2.465 ± 0.496).The difference between mean BMD Z- score before and after zinc supplementationwas statistically significant (P value &lt;0.001).</w:t>
      </w:r>
    </w:p>
    <w:p w:rsidR="009A5889" w:rsidRPr="00C363ED" w:rsidRDefault="009A5889" w:rsidP="0026477D">
      <w:pPr>
        <w:autoSpaceDE w:val="0"/>
        <w:autoSpaceDN w:val="0"/>
        <w:adjustRightInd w:val="0"/>
        <w:spacing w:after="0" w:line="360" w:lineRule="auto"/>
        <w:ind w:firstLine="425"/>
        <w:jc w:val="both"/>
      </w:pPr>
      <w:r w:rsidRPr="00C363ED">
        <w:t xml:space="preserve">        The mean  BMDZ-score before zinc was provided, was in the moderate osteoporosis category (-3.008± 0.410). After zinc supplementation this mean became no longer in the osteoporotic side and moved to the osteopenic side (-2.465± 0.496).</w:t>
      </w:r>
    </w:p>
    <w:p w:rsidR="009A5889" w:rsidRPr="00C363ED" w:rsidRDefault="009A5889" w:rsidP="0026477D">
      <w:pPr>
        <w:spacing w:after="0" w:line="360" w:lineRule="auto"/>
        <w:ind w:firstLine="425"/>
        <w:jc w:val="both"/>
      </w:pPr>
      <w:r w:rsidRPr="00C363ED">
        <w:t>This in turn can reflect a positive impact of zinc supplementation on these osteoporotic patients. It is remarkable that 67.5% of cases became no longer osteoporotic and had their Z-score more than -2.5 (osteopenia).AlthoughBMD  Z-scoring for 67.5 % of the patients in this study moved from osteoporosis to osteopenia (63.2% of males and 71.4% of females had their BMD Z-scoring moving from osteoporosis to osteopenia), none of our patients had a normal BMD Z- score at the end of the study. This probably could have been achieved if we start giving zinc earlier and /or if we continue giving zinc for a longer period.</w:t>
      </w:r>
    </w:p>
    <w:p w:rsidR="009A5889" w:rsidRPr="00C363ED" w:rsidRDefault="009A5889" w:rsidP="0026477D">
      <w:pPr>
        <w:spacing w:after="0" w:line="360" w:lineRule="auto"/>
        <w:ind w:firstLine="425"/>
        <w:jc w:val="both"/>
      </w:pPr>
      <w:r w:rsidRPr="00C363ED">
        <w:t>It was also remarkable that zinc intake improved BMD Z-scoring in males and females more or less indifferently.</w:t>
      </w:r>
    </w:p>
    <w:p w:rsidR="009A5889" w:rsidRPr="00C363ED" w:rsidRDefault="009A5889" w:rsidP="0026477D">
      <w:pPr>
        <w:spacing w:after="0" w:line="360" w:lineRule="auto"/>
        <w:ind w:firstLine="425"/>
        <w:jc w:val="both"/>
      </w:pPr>
      <w:r w:rsidRPr="00C363ED">
        <w:t>Leung et al, (2009) reported that 62% of their thalassemic  patients showed low BMD Z -score than normal[33].Pirinççioğlu,( 2011) found significantly lower BMD findings in ß – thalassemic children in comparison to their peers[34].</w:t>
      </w:r>
    </w:p>
    <w:p w:rsidR="009A5889" w:rsidRPr="00C363ED" w:rsidRDefault="009A5889" w:rsidP="0026477D">
      <w:pPr>
        <w:spacing w:after="0" w:line="360" w:lineRule="auto"/>
        <w:ind w:firstLine="425"/>
        <w:jc w:val="both"/>
      </w:pPr>
      <w:r w:rsidRPr="00C363ED">
        <w:t>Bekheiia et al, (2004) reported low serum zinc levels in 84.8% of the cases of their study compared to controls. They reported decreased BMD in 68.7% of these patients[28].</w:t>
      </w:r>
    </w:p>
    <w:p w:rsidR="009A5889" w:rsidRPr="00C363ED" w:rsidRDefault="009A5889" w:rsidP="0026477D">
      <w:pPr>
        <w:autoSpaceDE w:val="0"/>
        <w:autoSpaceDN w:val="0"/>
        <w:adjustRightInd w:val="0"/>
        <w:spacing w:after="0" w:line="360" w:lineRule="auto"/>
        <w:ind w:firstLine="425"/>
        <w:jc w:val="both"/>
      </w:pPr>
      <w:r w:rsidRPr="00C363ED">
        <w:t>Izadyar et al, (2012) found that at least 50% of their thalassemic patients suffered from some degree of bone mineral loss, either osteopenia or osteoporosis[35].</w:t>
      </w:r>
    </w:p>
    <w:p w:rsidR="009A5889" w:rsidRPr="00C363ED" w:rsidRDefault="009A5889" w:rsidP="0026477D">
      <w:pPr>
        <w:spacing w:after="0" w:line="360" w:lineRule="auto"/>
        <w:ind w:firstLine="425"/>
        <w:jc w:val="both"/>
      </w:pPr>
      <w:r w:rsidRPr="00C363ED">
        <w:t>Fung et al, (2013)came to the conclusion that if zinc supplementation is found to have a clinically important effect, this simple, safe, non-invasive therapy could quickly become a part of the standard care of these young patients and improve overall health in children and adult patients with ß-thalassemia[36].</w:t>
      </w:r>
    </w:p>
    <w:p w:rsidR="009A5889" w:rsidRPr="00C363ED" w:rsidRDefault="009A5889" w:rsidP="0026477D">
      <w:pPr>
        <w:spacing w:after="0" w:line="360" w:lineRule="auto"/>
        <w:ind w:firstLine="425"/>
        <w:jc w:val="both"/>
      </w:pPr>
      <w:r w:rsidRPr="00C363ED">
        <w:t>Before zinc was provided, theheight ranged between 115.15 and 139.35 cm (Mean 121.30 ± 12.64 cm). After zinc was given for one year, the height ranged between 118.90 to 150.10 cm (Mean 128.80± 13.92 cm). The difference in mean height before and after zinc was supplemented was statistically significant (P value &lt;0.001).</w:t>
      </w:r>
    </w:p>
    <w:p w:rsidR="009A5889" w:rsidRPr="00C363ED" w:rsidRDefault="009A5889" w:rsidP="0026477D">
      <w:pPr>
        <w:spacing w:after="0" w:line="360" w:lineRule="auto"/>
        <w:ind w:firstLine="425"/>
        <w:jc w:val="both"/>
      </w:pPr>
      <w:r w:rsidRPr="00C363ED">
        <w:t>Males and females look to react indifferently to zinc supply regarding their mean height change after zinc supplementation.</w:t>
      </w:r>
    </w:p>
    <w:p w:rsidR="009A5889" w:rsidRPr="00C363ED" w:rsidRDefault="009A5889" w:rsidP="0026477D">
      <w:pPr>
        <w:spacing w:after="0" w:line="360" w:lineRule="auto"/>
        <w:ind w:firstLine="425"/>
        <w:jc w:val="both"/>
      </w:pPr>
      <w:r w:rsidRPr="00C363ED">
        <w:t>Arcasoy et al, (1987) studied Effects of zinc supplementation on linear growth in β –thalassemia.They demonstrated that zinc deficiency is one of the factors responsible for retarded linear growth in beta-thalassemia major. Only the patients who received zinc supplementation showed an acceleration of growth in height[23].</w:t>
      </w:r>
    </w:p>
    <w:p w:rsidR="009A5889" w:rsidRPr="00C363ED" w:rsidRDefault="009A5889" w:rsidP="0026477D">
      <w:pPr>
        <w:autoSpaceDE w:val="0"/>
        <w:autoSpaceDN w:val="0"/>
        <w:adjustRightInd w:val="0"/>
        <w:spacing w:after="0" w:line="360" w:lineRule="auto"/>
        <w:ind w:firstLine="425"/>
        <w:jc w:val="both"/>
      </w:pPr>
      <w:r w:rsidRPr="00C363ED">
        <w:t>Faranoush et al,( 2008).In their studycame to the conclusion that oral zinc sulfate has no significant effect on linear growth of β- thalassemia patients[37].</w:t>
      </w:r>
    </w:p>
    <w:p w:rsidR="009A5889" w:rsidRPr="00C363ED" w:rsidRDefault="009A5889" w:rsidP="0026477D">
      <w:pPr>
        <w:spacing w:after="0" w:line="360" w:lineRule="auto"/>
        <w:ind w:firstLine="425"/>
        <w:jc w:val="both"/>
      </w:pPr>
      <w:r w:rsidRPr="00C363ED">
        <w:t>conclusion:</w:t>
      </w:r>
    </w:p>
    <w:p w:rsidR="009A5889" w:rsidRPr="00C363ED" w:rsidRDefault="009A5889" w:rsidP="0026477D">
      <w:pPr>
        <w:pStyle w:val="ListParagraph"/>
        <w:spacing w:after="0" w:line="360" w:lineRule="auto"/>
        <w:ind w:left="0" w:firstLine="425"/>
        <w:jc w:val="both"/>
      </w:pPr>
      <w:r w:rsidRPr="00C363ED">
        <w:t>Zinc supplementation for one year for prepubertalthalassemic children can have a positive impact on their linear growth as well as their bone mineral density.</w:t>
      </w:r>
    </w:p>
    <w:p w:rsidR="009A5889" w:rsidRPr="00C363ED" w:rsidRDefault="009A5889" w:rsidP="0026477D">
      <w:pPr>
        <w:pStyle w:val="ListParagraph"/>
        <w:spacing w:after="0" w:line="360" w:lineRule="auto"/>
        <w:ind w:left="0" w:firstLine="425"/>
        <w:jc w:val="both"/>
      </w:pPr>
      <w:r w:rsidRPr="00C363ED">
        <w:t>There is statistically significant difference on measuring mean serum zinc level, height and BMD Z-score before and after zinc supplementation.</w:t>
      </w:r>
    </w:p>
    <w:p w:rsidR="009A5889" w:rsidRPr="00C363ED" w:rsidRDefault="009A5889" w:rsidP="0026477D">
      <w:pPr>
        <w:pStyle w:val="ListParagraph"/>
        <w:spacing w:after="0" w:line="360" w:lineRule="auto"/>
        <w:ind w:left="0" w:firstLine="425"/>
        <w:jc w:val="both"/>
      </w:pPr>
      <w:r w:rsidRPr="00C363ED">
        <w:t>Recommendations:</w:t>
      </w:r>
    </w:p>
    <w:p w:rsidR="009A5889" w:rsidRPr="00C363ED" w:rsidRDefault="009A5889" w:rsidP="0026477D">
      <w:pPr>
        <w:pStyle w:val="ListParagraph"/>
        <w:spacing w:after="0" w:line="360" w:lineRule="auto"/>
        <w:ind w:left="0" w:firstLine="425"/>
        <w:jc w:val="both"/>
      </w:pPr>
      <w:r w:rsidRPr="00C363ED">
        <w:t>Zinc supplementation to prepubertalthalassemic children is advised to improve their BMD. This in turn can improve their bone strength and quality leading to a better quality of life.Furthermore,providing zinc to thalassemic children may improve their height velocity, and in turn their final stature.</w:t>
      </w:r>
    </w:p>
    <w:p w:rsidR="009A5889" w:rsidRPr="00C363ED" w:rsidRDefault="009A5889" w:rsidP="0026477D">
      <w:pPr>
        <w:pStyle w:val="ListParagraph"/>
        <w:spacing w:after="0" w:line="360" w:lineRule="auto"/>
        <w:ind w:left="0" w:firstLine="425"/>
        <w:jc w:val="both"/>
      </w:pPr>
      <w:r w:rsidRPr="00C363ED">
        <w:t>References</w:t>
      </w:r>
    </w:p>
    <w:p w:rsidR="009A5889" w:rsidRPr="00C363ED" w:rsidRDefault="009A5889" w:rsidP="0026477D">
      <w:pPr>
        <w:pStyle w:val="ListParagraph"/>
        <w:numPr>
          <w:ilvl w:val="0"/>
          <w:numId w:val="10"/>
        </w:numPr>
        <w:shd w:val="clear" w:color="auto" w:fill="FFFFFF"/>
        <w:spacing w:after="0" w:line="360" w:lineRule="auto"/>
        <w:ind w:left="0" w:firstLine="425"/>
        <w:jc w:val="both"/>
        <w:textAlignment w:val="baseline"/>
      </w:pPr>
      <w:r w:rsidRPr="00C363ED">
        <w:t>QuiroloK, andVichinnky E.(2007): Hemoglobin disorders: Behraman RE. Nelson Textbook of Pediatrics. 18th ed. Philadephia; Saunders.; Pp: 2033-9</w:t>
      </w:r>
    </w:p>
    <w:p w:rsidR="009A5889" w:rsidRPr="00C363ED" w:rsidRDefault="009A5889" w:rsidP="0026477D">
      <w:pPr>
        <w:pStyle w:val="ListParagraph"/>
        <w:numPr>
          <w:ilvl w:val="0"/>
          <w:numId w:val="10"/>
        </w:numPr>
        <w:shd w:val="clear" w:color="auto" w:fill="FFFFFF"/>
        <w:spacing w:after="0" w:line="360" w:lineRule="auto"/>
        <w:ind w:left="0" w:firstLine="425"/>
        <w:jc w:val="both"/>
        <w:textAlignment w:val="baseline"/>
      </w:pPr>
      <w:r w:rsidRPr="00C363ED">
        <w:t>Lukenn JN. (1999): The thalassemia and related disorders. In: Richard Lee GR, Foeuster J, Lukens J, Parakeras F, Green J, Rodgers GM. Wintrobes clinical hematology. 18th ed. Philadelphia; Lippincott, Williams &amp; Wilkins. Pp: 1406-35.</w:t>
      </w:r>
    </w:p>
    <w:p w:rsidR="009A5889" w:rsidRPr="00C363ED" w:rsidRDefault="009A5889" w:rsidP="0026477D">
      <w:pPr>
        <w:pStyle w:val="ListParagraph"/>
        <w:numPr>
          <w:ilvl w:val="0"/>
          <w:numId w:val="10"/>
        </w:numPr>
        <w:shd w:val="clear" w:color="auto" w:fill="FFFFFF"/>
        <w:spacing w:after="0" w:line="360" w:lineRule="auto"/>
        <w:ind w:left="0" w:firstLine="425"/>
        <w:jc w:val="both"/>
        <w:textAlignment w:val="baseline"/>
      </w:pPr>
      <w:r w:rsidRPr="00C363ED">
        <w:t>MohamadN, and Jackson N. (1998): Severe thalassemia intermedia: Clinical problems in the absence of hypertransfusion. Blood Rev.; 12: 163-70</w:t>
      </w:r>
    </w:p>
    <w:p w:rsidR="009A5889" w:rsidRPr="00C363ED" w:rsidRDefault="009A5889" w:rsidP="0026477D">
      <w:pPr>
        <w:pStyle w:val="ListParagraph"/>
        <w:numPr>
          <w:ilvl w:val="0"/>
          <w:numId w:val="10"/>
        </w:numPr>
        <w:shd w:val="clear" w:color="auto" w:fill="FFFFFF"/>
        <w:spacing w:after="0" w:line="360" w:lineRule="auto"/>
        <w:ind w:left="0" w:firstLine="425"/>
        <w:jc w:val="both"/>
        <w:textAlignment w:val="baseline"/>
      </w:pPr>
      <w:r w:rsidRPr="00C363ED">
        <w:t>DeBaun MR, Frei-Jones M, VichinskyE,Kliegman RM, Behrman RE, Jenson HB, Stanton BF(2011):, Hemoglobinopathies.eds. Nelson Textbook of Pediatrics. 19th ed. Philadelphia, PA: Saunders Elsevier; chap 45.</w:t>
      </w:r>
    </w:p>
    <w:p w:rsidR="009A5889" w:rsidRPr="00C363ED" w:rsidRDefault="009A5889" w:rsidP="0026477D">
      <w:pPr>
        <w:pStyle w:val="ListParagraph"/>
        <w:numPr>
          <w:ilvl w:val="0"/>
          <w:numId w:val="10"/>
        </w:numPr>
        <w:spacing w:after="0" w:line="360" w:lineRule="auto"/>
        <w:ind w:left="0" w:firstLine="425"/>
        <w:jc w:val="both"/>
      </w:pPr>
      <w:r w:rsidRPr="00C363ED">
        <w:t>Cianciulli P (2008): "Treatment of iron overload in thalassemia". PediatrEndocrinol Rev 6 (Suppl 1): 208–13.</w:t>
      </w:r>
    </w:p>
    <w:p w:rsidR="009A5889" w:rsidRPr="00C363ED" w:rsidRDefault="009A5889" w:rsidP="0026477D">
      <w:pPr>
        <w:pStyle w:val="ListParagraph"/>
        <w:numPr>
          <w:ilvl w:val="0"/>
          <w:numId w:val="10"/>
        </w:numPr>
        <w:shd w:val="clear" w:color="auto" w:fill="FFFFFF"/>
        <w:spacing w:after="0" w:line="360" w:lineRule="auto"/>
        <w:ind w:left="0" w:firstLine="425"/>
        <w:jc w:val="both"/>
        <w:textAlignment w:val="baseline"/>
      </w:pPr>
      <w:r w:rsidRPr="00C363ED">
        <w:t>Vichinsky EP, (1998):  The morbidity of bone disease in thalassemia. Ann N Y AcadSci 850: 344-348</w:t>
      </w:r>
    </w:p>
    <w:p w:rsidR="009A5889" w:rsidRPr="00C363ED" w:rsidRDefault="009A5889" w:rsidP="0026477D">
      <w:pPr>
        <w:pStyle w:val="ListParagraph"/>
        <w:numPr>
          <w:ilvl w:val="0"/>
          <w:numId w:val="10"/>
        </w:numPr>
        <w:shd w:val="clear" w:color="auto" w:fill="FFFFFF"/>
        <w:spacing w:after="0" w:line="360" w:lineRule="auto"/>
        <w:ind w:left="0" w:firstLine="425"/>
        <w:jc w:val="both"/>
        <w:textAlignment w:val="baseline"/>
      </w:pPr>
      <w:r w:rsidRPr="00C363ED">
        <w:t>Anapliotou L, Kastanias I, Psara P,  EvangelouE,Liparaki M, and  Dimitriou P, (1995):  “The contribution of hypogonadismto the development of osteoporosis in thalassemia major: new therapeutic approaches,” Clinical Endocrinology,vol. 42, no. 3, pp. 279–287</w:t>
      </w:r>
    </w:p>
    <w:p w:rsidR="009A5889" w:rsidRPr="00C363ED" w:rsidRDefault="009A5889" w:rsidP="0026477D">
      <w:pPr>
        <w:pStyle w:val="ListParagraph"/>
        <w:numPr>
          <w:ilvl w:val="0"/>
          <w:numId w:val="10"/>
        </w:numPr>
        <w:shd w:val="clear" w:color="auto" w:fill="FFFFFF"/>
        <w:spacing w:after="0" w:line="360" w:lineRule="auto"/>
        <w:ind w:left="0" w:firstLine="425"/>
        <w:jc w:val="both"/>
        <w:textAlignment w:val="baseline"/>
      </w:pPr>
      <w:r w:rsidRPr="00C363ED">
        <w:t>Wonke B, (1998):  Bone disease in beta-thalassemia major. Br J Haematol 103: 897-901.</w:t>
      </w:r>
    </w:p>
    <w:p w:rsidR="009A5889" w:rsidRPr="00C363ED" w:rsidRDefault="009A5889" w:rsidP="0026477D">
      <w:pPr>
        <w:pStyle w:val="ListParagraph"/>
        <w:numPr>
          <w:ilvl w:val="0"/>
          <w:numId w:val="10"/>
        </w:numPr>
        <w:shd w:val="clear" w:color="auto" w:fill="FFFFFF"/>
        <w:spacing w:after="0" w:line="360" w:lineRule="auto"/>
        <w:ind w:left="0" w:firstLine="425"/>
        <w:jc w:val="both"/>
        <w:textAlignment w:val="baseline"/>
      </w:pPr>
      <w:r w:rsidRPr="00C363ED">
        <w:t>De Sanctis V,  Pintor C , andGamberini M , (1995):  “Multicentre study on prevalence of endocrine complications in thalassemia major,” Clinical Endocrinology, vol. 42, no. 6, pp. 581–586</w:t>
      </w:r>
    </w:p>
    <w:p w:rsidR="009A5889" w:rsidRPr="00C363ED" w:rsidRDefault="009A5889" w:rsidP="0026477D">
      <w:pPr>
        <w:pStyle w:val="ListParagraph"/>
        <w:numPr>
          <w:ilvl w:val="0"/>
          <w:numId w:val="10"/>
        </w:numPr>
        <w:shd w:val="clear" w:color="auto" w:fill="FFFFFF"/>
        <w:spacing w:after="0" w:line="360" w:lineRule="auto"/>
        <w:ind w:left="0" w:firstLine="425"/>
        <w:jc w:val="both"/>
        <w:textAlignment w:val="baseline"/>
      </w:pPr>
      <w:r w:rsidRPr="00C363ED">
        <w:t>Soliman AT, Khalafallah H,  andAshour (2009): Growth and factors affecting it in thalassemia major. Hemoglobin; 33:116-26</w:t>
      </w:r>
    </w:p>
    <w:p w:rsidR="009A5889" w:rsidRPr="00C363ED" w:rsidRDefault="009A5889" w:rsidP="0026477D">
      <w:pPr>
        <w:pStyle w:val="ListParagraph"/>
        <w:numPr>
          <w:ilvl w:val="0"/>
          <w:numId w:val="10"/>
        </w:numPr>
        <w:shd w:val="clear" w:color="auto" w:fill="FFFFFF"/>
        <w:spacing w:after="0" w:line="360" w:lineRule="auto"/>
        <w:ind w:left="0" w:firstLine="425"/>
        <w:jc w:val="both"/>
        <w:textAlignment w:val="baseline"/>
      </w:pPr>
      <w:r w:rsidRPr="00C363ED">
        <w:t>Skordis N, (2011): The growing child with Thalassaemia. J PediatrEndocrinolMetab; 19: 467-9</w:t>
      </w:r>
    </w:p>
    <w:p w:rsidR="009A5889" w:rsidRPr="00C363ED" w:rsidRDefault="009A5889" w:rsidP="0026477D">
      <w:pPr>
        <w:pStyle w:val="ListParagraph"/>
        <w:numPr>
          <w:ilvl w:val="0"/>
          <w:numId w:val="10"/>
        </w:numPr>
        <w:shd w:val="clear" w:color="auto" w:fill="FFFFFF"/>
        <w:spacing w:after="0" w:line="360" w:lineRule="auto"/>
        <w:ind w:left="0" w:firstLine="425"/>
        <w:jc w:val="both"/>
        <w:textAlignment w:val="baseline"/>
      </w:pPr>
      <w:r w:rsidRPr="00C363ED">
        <w:t>Fuchs GJ, Tienboon P, Linpisarn S, Nimsakul S,  Leelapat P,  and Tovanabutra S, (1996): Nutritional factors and thalassemia major. Arch Dis Child; 74: 224-27</w:t>
      </w:r>
    </w:p>
    <w:p w:rsidR="009A5889" w:rsidRPr="00C363ED" w:rsidRDefault="009A5889" w:rsidP="0026477D">
      <w:pPr>
        <w:pStyle w:val="ListParagraph"/>
        <w:numPr>
          <w:ilvl w:val="0"/>
          <w:numId w:val="10"/>
        </w:numPr>
        <w:shd w:val="clear" w:color="auto" w:fill="FFFFFF"/>
        <w:spacing w:after="0" w:line="360" w:lineRule="auto"/>
        <w:ind w:left="0" w:firstLine="425"/>
        <w:jc w:val="both"/>
        <w:textAlignment w:val="baseline"/>
      </w:pPr>
      <w:r w:rsidRPr="00C363ED">
        <w:t>Segen's(2012):Medical Dictionary. ©  Farlex.</w:t>
      </w:r>
    </w:p>
    <w:p w:rsidR="009A5889" w:rsidRPr="00C363ED" w:rsidRDefault="009A5889" w:rsidP="0026477D">
      <w:pPr>
        <w:pStyle w:val="ListParagraph"/>
        <w:numPr>
          <w:ilvl w:val="0"/>
          <w:numId w:val="10"/>
        </w:numPr>
        <w:shd w:val="clear" w:color="auto" w:fill="FFFFFF"/>
        <w:spacing w:after="0" w:line="360" w:lineRule="auto"/>
        <w:ind w:left="0" w:firstLine="425"/>
        <w:jc w:val="both"/>
        <w:textAlignment w:val="baseline"/>
      </w:pPr>
      <w:r w:rsidRPr="00C363ED">
        <w:t>Leib ES, Lewiecki EM, Binkley N, andHamdy RC, (2004):Official positions of the International Society for Clinical Densitometry. J ClinDensitom 7:1–6.</w:t>
      </w:r>
    </w:p>
    <w:p w:rsidR="009A5889" w:rsidRPr="00C363ED" w:rsidRDefault="009A5889" w:rsidP="0026477D">
      <w:pPr>
        <w:pStyle w:val="ListParagraph"/>
        <w:numPr>
          <w:ilvl w:val="0"/>
          <w:numId w:val="10"/>
        </w:numPr>
        <w:shd w:val="clear" w:color="auto" w:fill="FFFFFF"/>
        <w:spacing w:after="0" w:line="360" w:lineRule="auto"/>
        <w:ind w:left="0" w:firstLine="425"/>
        <w:jc w:val="both"/>
        <w:textAlignment w:val="baseline"/>
      </w:pPr>
      <w:hyperlink r:id="rId17" w:history="1">
        <w:r w:rsidRPr="00C363ED">
          <w:t>Kocks J</w:t>
        </w:r>
      </w:hyperlink>
      <w:r w:rsidRPr="00C363ED">
        <w:t>, </w:t>
      </w:r>
      <w:hyperlink r:id="rId18" w:history="1">
        <w:r w:rsidRPr="00C363ED">
          <w:t>Ward K</w:t>
        </w:r>
      </w:hyperlink>
      <w:r w:rsidRPr="00C363ED">
        <w:t>, </w:t>
      </w:r>
      <w:hyperlink r:id="rId19" w:history="1">
        <w:r w:rsidRPr="00C363ED">
          <w:t>Mughal Z</w:t>
        </w:r>
      </w:hyperlink>
      <w:r w:rsidRPr="00C363ED">
        <w:t>, </w:t>
      </w:r>
      <w:hyperlink r:id="rId20" w:history="1">
        <w:r w:rsidRPr="00C363ED">
          <w:t>Moncayo R</w:t>
        </w:r>
      </w:hyperlink>
      <w:r w:rsidRPr="00C363ED">
        <w:t>, </w:t>
      </w:r>
      <w:hyperlink r:id="rId21" w:history="1">
        <w:r w:rsidRPr="00C363ED">
          <w:t>Adams J</w:t>
        </w:r>
      </w:hyperlink>
      <w:r w:rsidRPr="00C363ED">
        <w:t xml:space="preserve">,  and </w:t>
      </w:r>
      <w:hyperlink r:id="rId22" w:history="1">
        <w:r w:rsidRPr="00C363ED">
          <w:t>Högler W</w:t>
        </w:r>
      </w:hyperlink>
      <w:r w:rsidRPr="00C363ED">
        <w:t>. (2010): Z-score comparability of bone mineral density reference databases for children,</w:t>
      </w:r>
      <w:hyperlink r:id="rId23" w:tooltip="The Journal of clinical endocrinology and metabolism." w:history="1">
        <w:r w:rsidRPr="00C363ED">
          <w:t>JClinEndocrinolMetab.</w:t>
        </w:r>
      </w:hyperlink>
      <w:r w:rsidRPr="00C363ED">
        <w:t> ;95(10):4652-9</w:t>
      </w:r>
    </w:p>
    <w:p w:rsidR="009A5889" w:rsidRPr="00C363ED" w:rsidRDefault="009A5889" w:rsidP="0026477D">
      <w:pPr>
        <w:pStyle w:val="ListParagraph"/>
        <w:numPr>
          <w:ilvl w:val="0"/>
          <w:numId w:val="10"/>
        </w:numPr>
        <w:shd w:val="clear" w:color="auto" w:fill="FFFFFF"/>
        <w:spacing w:after="0" w:line="360" w:lineRule="auto"/>
        <w:ind w:left="0" w:firstLine="425"/>
        <w:jc w:val="both"/>
        <w:textAlignment w:val="baseline"/>
      </w:pPr>
      <w:r w:rsidRPr="00C363ED">
        <w:t>Szewczyk B, ( 2013):Zinc homeostasis and neurodegenerative disorders, Front Aging ,Neurosci, Vol 5, No. 5, Article 33</w:t>
      </w:r>
    </w:p>
    <w:p w:rsidR="009A5889" w:rsidRPr="00C363ED" w:rsidRDefault="009A5889" w:rsidP="0026477D">
      <w:pPr>
        <w:pStyle w:val="ListParagraph"/>
        <w:numPr>
          <w:ilvl w:val="0"/>
          <w:numId w:val="10"/>
        </w:numPr>
        <w:shd w:val="clear" w:color="auto" w:fill="FFFFFF"/>
        <w:spacing w:after="0" w:line="360" w:lineRule="auto"/>
        <w:ind w:left="0" w:firstLine="425"/>
        <w:jc w:val="both"/>
        <w:textAlignment w:val="baseline"/>
      </w:pPr>
      <w:r w:rsidRPr="00C363ED">
        <w:t>Tapiero H, Tew KD. (2003): Trace elements in human physiology and pathology: zinc and metallothioneins. Biomed Pharmacother. ; 57:399–41</w:t>
      </w:r>
    </w:p>
    <w:p w:rsidR="009A5889" w:rsidRPr="00C363ED" w:rsidRDefault="009A5889" w:rsidP="0026477D">
      <w:pPr>
        <w:pStyle w:val="ListParagraph"/>
        <w:numPr>
          <w:ilvl w:val="0"/>
          <w:numId w:val="10"/>
        </w:numPr>
        <w:shd w:val="clear" w:color="auto" w:fill="FFFFFF"/>
        <w:spacing w:after="0" w:line="360" w:lineRule="auto"/>
        <w:ind w:left="0" w:firstLine="425"/>
        <w:jc w:val="both"/>
        <w:textAlignment w:val="baseline"/>
      </w:pPr>
      <w:r w:rsidRPr="00C363ED">
        <w:t>Doherty CP, Crofton PM, Sarkar MA, Shakur MS, Wade JC,  andKelnar CJ, (2002): Malnutrition, zinc supplementation and catch-up growth: Changes in insulin-like growth factor I, its binding proteins, bone formation and collagen turnover. ClinEndocrinol (Oxf); 57:391-399</w:t>
      </w:r>
    </w:p>
    <w:p w:rsidR="009A5889" w:rsidRPr="00C363ED" w:rsidRDefault="009A5889" w:rsidP="0026477D">
      <w:pPr>
        <w:pStyle w:val="ListParagraph"/>
        <w:numPr>
          <w:ilvl w:val="0"/>
          <w:numId w:val="10"/>
        </w:numPr>
        <w:shd w:val="clear" w:color="auto" w:fill="FFFFFF"/>
        <w:spacing w:after="0" w:line="360" w:lineRule="auto"/>
        <w:ind w:left="0" w:firstLine="425"/>
        <w:jc w:val="both"/>
        <w:textAlignment w:val="baseline"/>
      </w:pPr>
      <w:r w:rsidRPr="00C363ED">
        <w:t>Mamidi RS, Shidhaye P, Radhakrishna KV, Babu JJ, and Reddy PS, (2011):  Pattern of Growth Faltering and Recovery in Under-5 Children in India Using WHO Growth Standards – A Study on First and Third National Family Health Survey. IndPedvol 48(11): 855–60</w:t>
      </w:r>
    </w:p>
    <w:p w:rsidR="009A5889" w:rsidRPr="00C363ED" w:rsidRDefault="009A5889" w:rsidP="0026477D">
      <w:pPr>
        <w:pStyle w:val="ListParagraph"/>
        <w:numPr>
          <w:ilvl w:val="0"/>
          <w:numId w:val="10"/>
        </w:numPr>
        <w:autoSpaceDE w:val="0"/>
        <w:autoSpaceDN w:val="0"/>
        <w:adjustRightInd w:val="0"/>
        <w:spacing w:after="0" w:line="360" w:lineRule="auto"/>
        <w:ind w:left="0" w:firstLine="425"/>
        <w:jc w:val="both"/>
      </w:pPr>
      <w:r w:rsidRPr="00C363ED">
        <w:t>Perkin Elmer (2011):Autosampler ,Model A 600 Supplies</w:t>
      </w:r>
    </w:p>
    <w:p w:rsidR="009A5889" w:rsidRPr="00C363ED" w:rsidRDefault="009A5889" w:rsidP="0026477D">
      <w:pPr>
        <w:pStyle w:val="ListParagraph"/>
        <w:numPr>
          <w:ilvl w:val="0"/>
          <w:numId w:val="10"/>
        </w:numPr>
        <w:shd w:val="clear" w:color="auto" w:fill="FFFFFF"/>
        <w:spacing w:after="0" w:line="360" w:lineRule="auto"/>
        <w:ind w:left="0" w:firstLine="425"/>
        <w:jc w:val="both"/>
        <w:textAlignment w:val="baseline"/>
      </w:pPr>
      <w:r w:rsidRPr="00C363ED">
        <w:t>DEMPU and NRC,(2003): Diabetes Endocrine and Metabolic Pediatric Unit and the National Research Center, Cairo University in collaboration with Wright State University ,School of Medicine Department of Community Health. Health Research Center. From total sample of 33189 girls and boys.</w:t>
      </w:r>
    </w:p>
    <w:p w:rsidR="009A5889" w:rsidRPr="00C363ED" w:rsidRDefault="009A5889" w:rsidP="0026477D">
      <w:pPr>
        <w:pStyle w:val="ListParagraph"/>
        <w:numPr>
          <w:ilvl w:val="0"/>
          <w:numId w:val="10"/>
        </w:numPr>
        <w:shd w:val="clear" w:color="auto" w:fill="FFFFFF"/>
        <w:spacing w:after="0" w:line="360" w:lineRule="auto"/>
        <w:ind w:left="0" w:firstLine="425"/>
        <w:jc w:val="both"/>
        <w:textAlignment w:val="baseline"/>
      </w:pPr>
      <w:hyperlink r:id="rId24" w:history="1">
        <w:r w:rsidRPr="00C363ED">
          <w:t>Kanis JA</w:t>
        </w:r>
      </w:hyperlink>
      <w:r w:rsidRPr="00C363ED">
        <w:t>, </w:t>
      </w:r>
      <w:hyperlink r:id="rId25" w:history="1">
        <w:r w:rsidRPr="00C363ED">
          <w:t>Black D</w:t>
        </w:r>
      </w:hyperlink>
      <w:r w:rsidRPr="00C363ED">
        <w:t>, </w:t>
      </w:r>
      <w:hyperlink r:id="rId26" w:history="1">
        <w:r w:rsidRPr="00C363ED">
          <w:t>Cooper C</w:t>
        </w:r>
      </w:hyperlink>
      <w:r w:rsidRPr="00C363ED">
        <w:t>, </w:t>
      </w:r>
      <w:hyperlink r:id="rId27" w:history="1">
        <w:r w:rsidRPr="00C363ED">
          <w:t>Dargent P</w:t>
        </w:r>
      </w:hyperlink>
      <w:r w:rsidRPr="00C363ED">
        <w:t>, </w:t>
      </w:r>
      <w:hyperlink r:id="rId28" w:history="1">
        <w:r w:rsidRPr="00C363ED">
          <w:t>Dawson-Hughes B</w:t>
        </w:r>
      </w:hyperlink>
      <w:r w:rsidRPr="00C363ED">
        <w:t>, </w:t>
      </w:r>
      <w:hyperlink r:id="rId29" w:history="1">
        <w:r w:rsidRPr="00C363ED">
          <w:t>De Laet C</w:t>
        </w:r>
      </w:hyperlink>
      <w:r w:rsidRPr="00C363ED">
        <w:t>, </w:t>
      </w:r>
      <w:hyperlink r:id="rId30" w:history="1">
        <w:r w:rsidRPr="00C363ED">
          <w:t>Delmas P</w:t>
        </w:r>
      </w:hyperlink>
      <w:r w:rsidRPr="00C363ED">
        <w:t>, </w:t>
      </w:r>
      <w:hyperlink r:id="rId31" w:history="1">
        <w:r w:rsidRPr="00C363ED">
          <w:t>Eisman J</w:t>
        </w:r>
      </w:hyperlink>
      <w:r w:rsidRPr="00C363ED">
        <w:t>, and </w:t>
      </w:r>
      <w:hyperlink r:id="rId32" w:history="1">
        <w:r w:rsidRPr="00C363ED">
          <w:t>Johnell O</w:t>
        </w:r>
      </w:hyperlink>
      <w:r w:rsidRPr="00C363ED">
        <w:t>, (2002):A new approach to the development of assessment guidelines for osteoporosis,</w:t>
      </w:r>
      <w:hyperlink r:id="rId33" w:tooltip="Osteoporosis international : a journal established as result of cooperation between the European Foundation for Osteoporosis and the National Osteoporosis Foundation of the USA." w:history="1">
        <w:r w:rsidRPr="00C363ED">
          <w:t>Osteoporos Int.</w:t>
        </w:r>
      </w:hyperlink>
      <w:r w:rsidRPr="00C363ED">
        <w:t> ;13(7):527-36.</w:t>
      </w:r>
    </w:p>
    <w:p w:rsidR="009A5889" w:rsidRPr="00C363ED" w:rsidRDefault="009A5889" w:rsidP="0026477D">
      <w:pPr>
        <w:pStyle w:val="ListParagraph"/>
        <w:numPr>
          <w:ilvl w:val="0"/>
          <w:numId w:val="10"/>
        </w:numPr>
        <w:autoSpaceDE w:val="0"/>
        <w:autoSpaceDN w:val="0"/>
        <w:adjustRightInd w:val="0"/>
        <w:spacing w:after="0" w:line="360" w:lineRule="auto"/>
        <w:ind w:left="0" w:firstLine="425"/>
        <w:jc w:val="both"/>
      </w:pPr>
      <w:r w:rsidRPr="00C363ED">
        <w:t>Arcasoy A, Canata D, Sinav B, Kutlay L, Oguz N, andSen M., (2001): Serum zinc levels and zinc binding capacity in thalassemia. J Trace Elem Med Biol; 15: 85-87</w:t>
      </w:r>
    </w:p>
    <w:p w:rsidR="009A5889" w:rsidRPr="00C363ED" w:rsidRDefault="009A5889" w:rsidP="0026477D">
      <w:pPr>
        <w:pStyle w:val="ListParagraph"/>
        <w:numPr>
          <w:ilvl w:val="0"/>
          <w:numId w:val="10"/>
        </w:numPr>
        <w:shd w:val="clear" w:color="auto" w:fill="FFFFFF"/>
        <w:spacing w:after="0" w:line="360" w:lineRule="auto"/>
        <w:ind w:left="0" w:firstLine="425"/>
        <w:jc w:val="both"/>
        <w:textAlignment w:val="baseline"/>
      </w:pPr>
      <w:hyperlink r:id="rId34" w:history="1">
        <w:r w:rsidRPr="00C363ED">
          <w:t>Fikry SI</w:t>
        </w:r>
      </w:hyperlink>
      <w:r w:rsidRPr="00C363ED">
        <w:t>, </w:t>
      </w:r>
      <w:hyperlink r:id="rId35" w:history="1">
        <w:r w:rsidRPr="00C363ED">
          <w:t>Saleh SA</w:t>
        </w:r>
      </w:hyperlink>
      <w:r w:rsidRPr="00C363ED">
        <w:t>, </w:t>
      </w:r>
      <w:hyperlink r:id="rId36" w:history="1">
        <w:r w:rsidRPr="00C363ED">
          <w:t>Sarkis NN</w:t>
        </w:r>
      </w:hyperlink>
      <w:r w:rsidRPr="00C363ED">
        <w:t>, and </w:t>
      </w:r>
      <w:hyperlink r:id="rId37" w:history="1">
        <w:r w:rsidRPr="00C363ED">
          <w:t>Mangoud H</w:t>
        </w:r>
      </w:hyperlink>
      <w:r w:rsidRPr="00C363ED">
        <w:t>, (2003): Study of serum zinc in relation to nutritional status among thalassemia patients in Damanhour Medical National Institute</w:t>
      </w:r>
      <w:hyperlink r:id="rId38" w:tooltip="The Journal of the Egyptian Public Health Association." w:history="1">
        <w:r w:rsidRPr="00C363ED">
          <w:t>J Egypt Public Health Assoc.</w:t>
        </w:r>
      </w:hyperlink>
      <w:r w:rsidRPr="00C363ED">
        <w:t> ;78(1-2):73-93.</w:t>
      </w:r>
    </w:p>
    <w:p w:rsidR="009A5889" w:rsidRPr="00C363ED" w:rsidRDefault="009A5889" w:rsidP="0026477D">
      <w:pPr>
        <w:pStyle w:val="ListParagraph"/>
        <w:numPr>
          <w:ilvl w:val="0"/>
          <w:numId w:val="10"/>
        </w:numPr>
        <w:shd w:val="clear" w:color="auto" w:fill="FFFFFF"/>
        <w:spacing w:after="0" w:line="360" w:lineRule="auto"/>
        <w:ind w:left="0" w:firstLine="425"/>
        <w:jc w:val="both"/>
        <w:textAlignment w:val="baseline"/>
      </w:pPr>
      <w:hyperlink r:id="rId39" w:history="1">
        <w:r w:rsidRPr="00C363ED">
          <w:t>Sherief</w:t>
        </w:r>
      </w:hyperlink>
      <w:r w:rsidRPr="00C363ED">
        <w:t xml:space="preserve"> L, </w:t>
      </w:r>
      <w:hyperlink r:id="rId40" w:history="1">
        <w:r w:rsidRPr="00C363ED">
          <w:t>Abd El-Salam</w:t>
        </w:r>
      </w:hyperlink>
      <w:r w:rsidRPr="00C363ED">
        <w:t xml:space="preserve"> S, </w:t>
      </w:r>
      <w:hyperlink r:id="rId41" w:history="1">
        <w:r w:rsidRPr="00C363ED">
          <w:t xml:space="preserve"> Kamal</w:t>
        </w:r>
      </w:hyperlink>
      <w:r w:rsidRPr="00C363ED">
        <w:t xml:space="preserve"> N, </w:t>
      </w:r>
      <w:hyperlink r:id="rId42" w:history="1">
        <w:r w:rsidRPr="00C363ED">
          <w:t xml:space="preserve"> El safy</w:t>
        </w:r>
      </w:hyperlink>
      <w:r w:rsidRPr="00C363ED">
        <w:t xml:space="preserve"> O, </w:t>
      </w:r>
      <w:hyperlink r:id="rId43" w:history="1">
        <w:r w:rsidRPr="00C363ED">
          <w:t>Almalky</w:t>
        </w:r>
      </w:hyperlink>
      <w:r w:rsidRPr="00C363ED">
        <w:t xml:space="preserve"> M, </w:t>
      </w:r>
      <w:hyperlink r:id="rId44" w:history="1">
        <w:r w:rsidRPr="00C363ED">
          <w:t>Azab</w:t>
        </w:r>
      </w:hyperlink>
      <w:r w:rsidRPr="00C363ED">
        <w:t xml:space="preserve"> S, H,  </w:t>
      </w:r>
      <w:hyperlink r:id="rId45" w:history="1">
        <w:r w:rsidRPr="00C363ED">
          <w:t>Amal F. Gharieb</w:t>
        </w:r>
      </w:hyperlink>
      <w:r w:rsidRPr="00C363ED">
        <w:t xml:space="preserve"> A ,(2014): Nutritional Biomarkers in Children and Adolescents with Beta-Thalassemia-Major: An Egyptian Center ExperienceBioMed Research International Journal;Volume 2014  pages1-7</w:t>
      </w:r>
    </w:p>
    <w:p w:rsidR="009A5889" w:rsidRPr="00C363ED" w:rsidRDefault="009A5889" w:rsidP="0026477D">
      <w:pPr>
        <w:pStyle w:val="ListParagraph"/>
        <w:numPr>
          <w:ilvl w:val="0"/>
          <w:numId w:val="10"/>
        </w:numPr>
        <w:shd w:val="clear" w:color="auto" w:fill="FFFFFF"/>
        <w:spacing w:after="0" w:line="360" w:lineRule="auto"/>
        <w:ind w:left="0" w:firstLine="425"/>
        <w:jc w:val="both"/>
        <w:textAlignment w:val="baseline"/>
      </w:pPr>
      <w:r w:rsidRPr="00C363ED">
        <w:t>Keikhaei B, Badavi M, Pedram M, Zandian K, Rahim F.(2010):Serum Zinc Level in Thalassemia Major.Pak J Med Sci ;26(4):942-945</w:t>
      </w:r>
    </w:p>
    <w:p w:rsidR="009A5889" w:rsidRPr="00C363ED" w:rsidRDefault="009A5889" w:rsidP="0026477D">
      <w:pPr>
        <w:pStyle w:val="ListParagraph"/>
        <w:numPr>
          <w:ilvl w:val="0"/>
          <w:numId w:val="10"/>
        </w:numPr>
        <w:shd w:val="clear" w:color="auto" w:fill="FFFFFF"/>
        <w:spacing w:after="0" w:line="360" w:lineRule="auto"/>
        <w:ind w:left="0" w:firstLine="425"/>
        <w:jc w:val="both"/>
        <w:textAlignment w:val="baseline"/>
      </w:pPr>
      <w:r w:rsidRPr="00C363ED">
        <w:t>Tabatabei M, Kamkar M, and  Habibzadeh M,(2003):  “Metabolic and endocrine complications in beta thalassemia major in a multicenter study,” Tehran University Medical Journal, vol. 5, no. 1, pp. 72–73</w:t>
      </w:r>
    </w:p>
    <w:p w:rsidR="009A5889" w:rsidRPr="00C363ED" w:rsidRDefault="009A5889" w:rsidP="0026477D">
      <w:pPr>
        <w:pStyle w:val="ListParagraph"/>
        <w:numPr>
          <w:ilvl w:val="0"/>
          <w:numId w:val="10"/>
        </w:numPr>
        <w:autoSpaceDE w:val="0"/>
        <w:autoSpaceDN w:val="0"/>
        <w:adjustRightInd w:val="0"/>
        <w:spacing w:after="0" w:line="360" w:lineRule="auto"/>
        <w:ind w:left="0" w:firstLine="425"/>
        <w:jc w:val="both"/>
      </w:pPr>
      <w:r w:rsidRPr="00C363ED">
        <w:t>Bekheiia MR, Shahirsaz AA, Kamgar M, Bouzari N, Erfanzadeh G, andPourzahedgilani N ,(2004): Serum zinc and its relation to bone mineral density in beta-thalassemic adolescents. Biol Trace ElemRes; 97: 215-24</w:t>
      </w:r>
    </w:p>
    <w:p w:rsidR="009A5889" w:rsidRPr="00C363ED" w:rsidRDefault="009A5889" w:rsidP="0026477D">
      <w:pPr>
        <w:pStyle w:val="ListParagraph"/>
        <w:numPr>
          <w:ilvl w:val="0"/>
          <w:numId w:val="10"/>
        </w:numPr>
        <w:shd w:val="clear" w:color="auto" w:fill="FFFFFF"/>
        <w:spacing w:after="0" w:line="360" w:lineRule="auto"/>
        <w:ind w:left="0" w:firstLine="425"/>
        <w:jc w:val="both"/>
        <w:textAlignment w:val="baseline"/>
      </w:pPr>
      <w:r w:rsidRPr="00C363ED">
        <w:t>Mahyar A, Ayaz A. PahlevanA , . Mojabi H,  Sehhat M, and  Javadi A, (2010):  “Zinc and copper status in children with beta-thalassemia major,” Iranian Journal of Pediatrics, vol. 20, no. 3, pp. 297–302</w:t>
      </w:r>
    </w:p>
    <w:p w:rsidR="009A5889" w:rsidRPr="00C363ED" w:rsidRDefault="009A5889" w:rsidP="0026477D">
      <w:pPr>
        <w:pStyle w:val="ListParagraph"/>
        <w:numPr>
          <w:ilvl w:val="0"/>
          <w:numId w:val="10"/>
        </w:numPr>
        <w:shd w:val="clear" w:color="auto" w:fill="FFFFFF"/>
        <w:spacing w:after="0" w:line="360" w:lineRule="auto"/>
        <w:ind w:left="0" w:firstLine="425"/>
        <w:jc w:val="both"/>
        <w:textAlignment w:val="baseline"/>
      </w:pPr>
      <w:r w:rsidRPr="00C363ED">
        <w:t>Kosarian M,  Valaee N, and MahdyyaneeA, (2000): “Do the desferal receiver thalassemic patients have zinc deficiency?” Journal of Mazandaran University of Medical Sciences, vol. 26, no. 10, pp. 1–6</w:t>
      </w:r>
    </w:p>
    <w:p w:rsidR="009A5889" w:rsidRPr="00C363ED" w:rsidRDefault="009A5889" w:rsidP="0026477D">
      <w:pPr>
        <w:pStyle w:val="ListParagraph"/>
        <w:numPr>
          <w:ilvl w:val="0"/>
          <w:numId w:val="10"/>
        </w:numPr>
        <w:shd w:val="clear" w:color="auto" w:fill="FFFFFF"/>
        <w:spacing w:after="0" w:line="360" w:lineRule="auto"/>
        <w:ind w:left="0" w:firstLine="425"/>
        <w:jc w:val="both"/>
        <w:textAlignment w:val="baseline"/>
      </w:pPr>
      <w:r w:rsidRPr="00C363ED">
        <w:t>Reshadat S, Kiani A, and Iranfar S, (2006): “Zinc level of major thalassemic patients in Kermanshah,”Behbood, vol. 2, no. 10, pp. 157–167</w:t>
      </w:r>
    </w:p>
    <w:p w:rsidR="009A5889" w:rsidRPr="00C363ED" w:rsidRDefault="009A5889" w:rsidP="0026477D">
      <w:pPr>
        <w:pStyle w:val="ListParagraph"/>
        <w:numPr>
          <w:ilvl w:val="0"/>
          <w:numId w:val="10"/>
        </w:numPr>
        <w:shd w:val="clear" w:color="auto" w:fill="FFFFFF"/>
        <w:spacing w:after="0" w:line="360" w:lineRule="auto"/>
        <w:ind w:left="0" w:firstLine="425"/>
        <w:jc w:val="both"/>
        <w:textAlignment w:val="baseline"/>
      </w:pPr>
      <w:r w:rsidRPr="00C363ED">
        <w:t>Mehdizadeh M, Zamani G, and Tabatabaee S, (2008): “Zinc status in patients with major β-thalassemia,”Pediatric Hematology and Oncology, vol. 25, no. 1, pp. 49–54</w:t>
      </w:r>
    </w:p>
    <w:p w:rsidR="009A5889" w:rsidRPr="00C363ED" w:rsidRDefault="009A5889" w:rsidP="0026477D">
      <w:pPr>
        <w:pStyle w:val="ListParagraph"/>
        <w:numPr>
          <w:ilvl w:val="0"/>
          <w:numId w:val="10"/>
        </w:numPr>
        <w:shd w:val="clear" w:color="auto" w:fill="FFFFFF"/>
        <w:spacing w:after="0" w:line="360" w:lineRule="auto"/>
        <w:ind w:left="0" w:firstLine="425"/>
        <w:jc w:val="both"/>
        <w:textAlignment w:val="baseline"/>
      </w:pPr>
      <w:r w:rsidRPr="00C363ED">
        <w:t>Leung TF, Chu Y,  andLee V, (2009): Long-term effects of pamidronate in thalassemic patients with severe bone mineral density deficits. Hemoglobin. 33: 361–369.</w:t>
      </w:r>
    </w:p>
    <w:p w:rsidR="009A5889" w:rsidRPr="00C363ED" w:rsidRDefault="009A5889" w:rsidP="0026477D">
      <w:pPr>
        <w:pStyle w:val="ListParagraph"/>
        <w:numPr>
          <w:ilvl w:val="0"/>
          <w:numId w:val="10"/>
        </w:numPr>
        <w:shd w:val="clear" w:color="auto" w:fill="FFFFFF"/>
        <w:spacing w:after="0" w:line="360" w:lineRule="auto"/>
        <w:ind w:left="0" w:firstLine="425"/>
        <w:jc w:val="both"/>
        <w:textAlignment w:val="baseline"/>
      </w:pPr>
      <w:r w:rsidRPr="00C363ED">
        <w:t>Pirinççioğlu A,(</w:t>
      </w:r>
      <w:hyperlink r:id="rId46" w:history="1">
        <w:r w:rsidRPr="00C363ED">
          <w:t>2011):Akpolat</w:t>
        </w:r>
      </w:hyperlink>
      <w:r w:rsidRPr="00C363ED">
        <w:t>V,</w:t>
      </w:r>
      <w:hyperlink r:id="rId47" w:history="1">
        <w:r w:rsidRPr="00C363ED">
          <w:t>Köksal</w:t>
        </w:r>
      </w:hyperlink>
      <w:r w:rsidRPr="00C363ED">
        <w:t xml:space="preserve">O, </w:t>
      </w:r>
      <w:hyperlink r:id="rId48" w:history="1">
        <w:r w:rsidRPr="00C363ED">
          <w:t>Söker</w:t>
        </w:r>
      </w:hyperlink>
      <w:r w:rsidRPr="00C363ED">
        <w:t>M Bone mineral density in children with beta-thalassemia major in Diyarbakir, Bone vol.49 819–823</w:t>
      </w:r>
    </w:p>
    <w:p w:rsidR="009A5889" w:rsidRPr="00C363ED" w:rsidRDefault="009A5889" w:rsidP="0026477D">
      <w:pPr>
        <w:pStyle w:val="ListParagraph"/>
        <w:numPr>
          <w:ilvl w:val="0"/>
          <w:numId w:val="10"/>
        </w:numPr>
        <w:shd w:val="clear" w:color="auto" w:fill="FFFFFF"/>
        <w:spacing w:after="0" w:line="360" w:lineRule="auto"/>
        <w:ind w:left="0" w:firstLine="425"/>
        <w:jc w:val="both"/>
        <w:textAlignment w:val="baseline"/>
      </w:pPr>
      <w:r w:rsidRPr="00C363ED">
        <w:t>Izadyar S, Fazeli M, Izadyar M, Salamati P,  and Gholamrezanezhad A, (2012): Bone mineral density in adult patients with major thalassaemia: our experience and a brief review of the literature Polish Journal of Endocrinology Tom/Volume 63; 4/ pp264-70</w:t>
      </w:r>
    </w:p>
    <w:p w:rsidR="009A5889" w:rsidRPr="00C363ED" w:rsidRDefault="009A5889" w:rsidP="0026477D">
      <w:pPr>
        <w:pStyle w:val="ListParagraph"/>
        <w:numPr>
          <w:ilvl w:val="0"/>
          <w:numId w:val="10"/>
        </w:numPr>
        <w:shd w:val="clear" w:color="auto" w:fill="FFFFFF"/>
        <w:spacing w:after="0" w:line="360" w:lineRule="auto"/>
        <w:ind w:left="0" w:firstLine="425"/>
        <w:jc w:val="both"/>
        <w:textAlignment w:val="baseline"/>
      </w:pPr>
      <w:hyperlink r:id="rId49" w:history="1">
        <w:r w:rsidRPr="00C363ED">
          <w:t>Fung EB</w:t>
        </w:r>
      </w:hyperlink>
      <w:r w:rsidRPr="00C363ED">
        <w:t>, </w:t>
      </w:r>
      <w:hyperlink r:id="rId50" w:history="1">
        <w:r w:rsidRPr="00C363ED">
          <w:t>Kwiatkowski JL</w:t>
        </w:r>
      </w:hyperlink>
      <w:r w:rsidRPr="00C363ED">
        <w:t>, </w:t>
      </w:r>
      <w:hyperlink r:id="rId51" w:history="1">
        <w:r w:rsidRPr="00C363ED">
          <w:t>Huang JN</w:t>
        </w:r>
      </w:hyperlink>
      <w:r w:rsidRPr="00C363ED">
        <w:t>, </w:t>
      </w:r>
      <w:hyperlink r:id="rId52" w:history="1">
        <w:r w:rsidRPr="00C363ED">
          <w:t>Gildengorin G</w:t>
        </w:r>
      </w:hyperlink>
      <w:r w:rsidRPr="00C363ED">
        <w:t>, </w:t>
      </w:r>
      <w:hyperlink r:id="rId53" w:history="1">
        <w:r w:rsidRPr="00C363ED">
          <w:t>King JC</w:t>
        </w:r>
      </w:hyperlink>
      <w:r w:rsidRPr="00C363ED">
        <w:t>, and </w:t>
      </w:r>
      <w:hyperlink r:id="rId54" w:history="1">
        <w:r w:rsidRPr="00C363ED">
          <w:t>Vichinsky EP</w:t>
        </w:r>
      </w:hyperlink>
      <w:r w:rsidRPr="00C363ED">
        <w:t>, (2013):Zinc supplementation improves bone density in patients with thalassemia: a double-blind, randomized, placebo-controlled trial.</w:t>
      </w:r>
      <w:hyperlink r:id="rId55" w:tooltip="The American journal of clinical nutrition." w:history="1">
        <w:r w:rsidRPr="00C363ED">
          <w:t>Am J ClinNutr.</w:t>
        </w:r>
      </w:hyperlink>
      <w:r w:rsidRPr="00C363ED">
        <w:t>  Oct; 98 (4):960-71</w:t>
      </w:r>
    </w:p>
    <w:p w:rsidR="009A5889" w:rsidRPr="00C363ED" w:rsidRDefault="009A5889" w:rsidP="0026477D">
      <w:pPr>
        <w:pStyle w:val="ListParagraph"/>
        <w:numPr>
          <w:ilvl w:val="0"/>
          <w:numId w:val="10"/>
        </w:numPr>
        <w:shd w:val="clear" w:color="auto" w:fill="FFFFFF"/>
        <w:spacing w:after="0" w:line="360" w:lineRule="auto"/>
        <w:ind w:left="0" w:firstLine="425"/>
        <w:jc w:val="both"/>
        <w:textAlignment w:val="baseline"/>
        <w:rPr>
          <w:rtl/>
        </w:rPr>
      </w:pPr>
      <w:r w:rsidRPr="00C363ED">
        <w:t>Faranoush M , Rahiminejad MS, Karamizadeh Z, Ghorbani R, andOwji SM,(2008): Zinc Supplementation Effect on Linear Growth in Transfusion Dependent βThalassemia IJBC; 1: 29-32</w:t>
      </w:r>
    </w:p>
    <w:sectPr w:rsidR="009A5889" w:rsidRPr="00C363ED" w:rsidSect="0026477D">
      <w:headerReference w:type="default" r:id="rId56"/>
      <w:footerReference w:type="default" r:id="rId57"/>
      <w:pgSz w:w="11907" w:h="16839" w:code="9"/>
      <w:pgMar w:top="1701" w:right="1701" w:bottom="1701"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889" w:rsidRDefault="009A5889" w:rsidP="00A72A2D">
      <w:pPr>
        <w:spacing w:after="0" w:line="240" w:lineRule="auto"/>
      </w:pPr>
      <w:r>
        <w:separator/>
      </w:r>
    </w:p>
  </w:endnote>
  <w:endnote w:type="continuationSeparator" w:id="1">
    <w:p w:rsidR="009A5889" w:rsidRDefault="009A5889" w:rsidP="00A72A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3">
    <w:altName w:val="Garamond 3"/>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889" w:rsidRPr="0026477D" w:rsidRDefault="009A5889" w:rsidP="002647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889" w:rsidRDefault="009A5889" w:rsidP="00A72A2D">
      <w:pPr>
        <w:spacing w:after="0" w:line="240" w:lineRule="auto"/>
      </w:pPr>
      <w:r>
        <w:separator/>
      </w:r>
    </w:p>
  </w:footnote>
  <w:footnote w:type="continuationSeparator" w:id="1">
    <w:p w:rsidR="009A5889" w:rsidRDefault="009A5889" w:rsidP="00A72A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889" w:rsidRPr="0026477D" w:rsidRDefault="009A5889" w:rsidP="002647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326FB"/>
    <w:multiLevelType w:val="hybridMultilevel"/>
    <w:tmpl w:val="6C42B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99B7AFE"/>
    <w:multiLevelType w:val="hybridMultilevel"/>
    <w:tmpl w:val="01D0E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D033689"/>
    <w:multiLevelType w:val="hybridMultilevel"/>
    <w:tmpl w:val="70A04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EE14F69"/>
    <w:multiLevelType w:val="hybridMultilevel"/>
    <w:tmpl w:val="26EC7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B614921"/>
    <w:multiLevelType w:val="hybridMultilevel"/>
    <w:tmpl w:val="76D65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8992621"/>
    <w:multiLevelType w:val="multilevel"/>
    <w:tmpl w:val="005C2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64283023"/>
    <w:multiLevelType w:val="hybridMultilevel"/>
    <w:tmpl w:val="B7DE5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54A1092"/>
    <w:multiLevelType w:val="hybridMultilevel"/>
    <w:tmpl w:val="0942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C107213"/>
    <w:multiLevelType w:val="hybridMultilevel"/>
    <w:tmpl w:val="E77ACD9C"/>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nsid w:val="6E074A1E"/>
    <w:multiLevelType w:val="multilevel"/>
    <w:tmpl w:val="3306B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9"/>
  </w:num>
  <w:num w:numId="4">
    <w:abstractNumId w:val="3"/>
  </w:num>
  <w:num w:numId="5">
    <w:abstractNumId w:val="2"/>
  </w:num>
  <w:num w:numId="6">
    <w:abstractNumId w:val="1"/>
  </w:num>
  <w:num w:numId="7">
    <w:abstractNumId w:val="0"/>
  </w:num>
  <w:num w:numId="8">
    <w:abstractNumId w:val="6"/>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40CB"/>
    <w:rsid w:val="00004DDC"/>
    <w:rsid w:val="0001276B"/>
    <w:rsid w:val="00035C48"/>
    <w:rsid w:val="00037AD8"/>
    <w:rsid w:val="00061FDB"/>
    <w:rsid w:val="000823EB"/>
    <w:rsid w:val="000A72D6"/>
    <w:rsid w:val="000C5578"/>
    <w:rsid w:val="000F662B"/>
    <w:rsid w:val="0011650A"/>
    <w:rsid w:val="00120A21"/>
    <w:rsid w:val="00123759"/>
    <w:rsid w:val="00174025"/>
    <w:rsid w:val="001B330D"/>
    <w:rsid w:val="001F5EDA"/>
    <w:rsid w:val="00237C9B"/>
    <w:rsid w:val="00261709"/>
    <w:rsid w:val="0026477D"/>
    <w:rsid w:val="00264DD8"/>
    <w:rsid w:val="00277992"/>
    <w:rsid w:val="00296114"/>
    <w:rsid w:val="002B2130"/>
    <w:rsid w:val="002B40CB"/>
    <w:rsid w:val="002C2AA0"/>
    <w:rsid w:val="002C36E3"/>
    <w:rsid w:val="002D25C2"/>
    <w:rsid w:val="002E2601"/>
    <w:rsid w:val="002E4DE3"/>
    <w:rsid w:val="002F13C5"/>
    <w:rsid w:val="002F72D2"/>
    <w:rsid w:val="00305934"/>
    <w:rsid w:val="00325959"/>
    <w:rsid w:val="00364A59"/>
    <w:rsid w:val="00374045"/>
    <w:rsid w:val="00377AEA"/>
    <w:rsid w:val="00382C6F"/>
    <w:rsid w:val="00392D3B"/>
    <w:rsid w:val="003A13BA"/>
    <w:rsid w:val="003A53F8"/>
    <w:rsid w:val="003A7C03"/>
    <w:rsid w:val="003B20E1"/>
    <w:rsid w:val="003B6839"/>
    <w:rsid w:val="003B7E55"/>
    <w:rsid w:val="003D37A2"/>
    <w:rsid w:val="003E408D"/>
    <w:rsid w:val="003E442F"/>
    <w:rsid w:val="00450098"/>
    <w:rsid w:val="0045617B"/>
    <w:rsid w:val="00486F26"/>
    <w:rsid w:val="004A25F3"/>
    <w:rsid w:val="004A7809"/>
    <w:rsid w:val="004C179B"/>
    <w:rsid w:val="004E0B1A"/>
    <w:rsid w:val="004E1ABB"/>
    <w:rsid w:val="004E24F4"/>
    <w:rsid w:val="004E463E"/>
    <w:rsid w:val="004F0FDF"/>
    <w:rsid w:val="0051606D"/>
    <w:rsid w:val="00531FB0"/>
    <w:rsid w:val="005405B1"/>
    <w:rsid w:val="0054748A"/>
    <w:rsid w:val="00550A76"/>
    <w:rsid w:val="00574A28"/>
    <w:rsid w:val="00595A99"/>
    <w:rsid w:val="005A7EF9"/>
    <w:rsid w:val="005B1A6A"/>
    <w:rsid w:val="005C3F48"/>
    <w:rsid w:val="005E18E4"/>
    <w:rsid w:val="005F268C"/>
    <w:rsid w:val="00602887"/>
    <w:rsid w:val="0060669C"/>
    <w:rsid w:val="00607AC3"/>
    <w:rsid w:val="006107FB"/>
    <w:rsid w:val="006120C9"/>
    <w:rsid w:val="00614C78"/>
    <w:rsid w:val="00616FA1"/>
    <w:rsid w:val="006441B2"/>
    <w:rsid w:val="00647C5C"/>
    <w:rsid w:val="006C2BAA"/>
    <w:rsid w:val="006C723E"/>
    <w:rsid w:val="006D6A28"/>
    <w:rsid w:val="006E3F69"/>
    <w:rsid w:val="0071663E"/>
    <w:rsid w:val="00744AF5"/>
    <w:rsid w:val="00752C1C"/>
    <w:rsid w:val="00777302"/>
    <w:rsid w:val="00777419"/>
    <w:rsid w:val="00780D67"/>
    <w:rsid w:val="00790466"/>
    <w:rsid w:val="00792F28"/>
    <w:rsid w:val="007A346B"/>
    <w:rsid w:val="007E0AF3"/>
    <w:rsid w:val="007E348B"/>
    <w:rsid w:val="00802BD9"/>
    <w:rsid w:val="00803130"/>
    <w:rsid w:val="00803BE0"/>
    <w:rsid w:val="00804B66"/>
    <w:rsid w:val="00824862"/>
    <w:rsid w:val="00843638"/>
    <w:rsid w:val="00844429"/>
    <w:rsid w:val="008760A7"/>
    <w:rsid w:val="00886FBA"/>
    <w:rsid w:val="008B37EA"/>
    <w:rsid w:val="008B7AD9"/>
    <w:rsid w:val="008D4E41"/>
    <w:rsid w:val="00907F42"/>
    <w:rsid w:val="009136BA"/>
    <w:rsid w:val="00926E0C"/>
    <w:rsid w:val="00945B4A"/>
    <w:rsid w:val="00966C12"/>
    <w:rsid w:val="00970B2B"/>
    <w:rsid w:val="00973D76"/>
    <w:rsid w:val="00985185"/>
    <w:rsid w:val="009A34D6"/>
    <w:rsid w:val="009A5889"/>
    <w:rsid w:val="009B2BEA"/>
    <w:rsid w:val="009B6C8F"/>
    <w:rsid w:val="009C6FB1"/>
    <w:rsid w:val="009E2358"/>
    <w:rsid w:val="009F0683"/>
    <w:rsid w:val="009F28A9"/>
    <w:rsid w:val="00A10436"/>
    <w:rsid w:val="00A42023"/>
    <w:rsid w:val="00A44B41"/>
    <w:rsid w:val="00A72A2D"/>
    <w:rsid w:val="00A86A15"/>
    <w:rsid w:val="00A87A50"/>
    <w:rsid w:val="00A922C0"/>
    <w:rsid w:val="00AB02A6"/>
    <w:rsid w:val="00AB246A"/>
    <w:rsid w:val="00AB5E09"/>
    <w:rsid w:val="00AB7502"/>
    <w:rsid w:val="00AD2386"/>
    <w:rsid w:val="00AE5FA5"/>
    <w:rsid w:val="00AF6AEA"/>
    <w:rsid w:val="00B16984"/>
    <w:rsid w:val="00B2496B"/>
    <w:rsid w:val="00B30ED4"/>
    <w:rsid w:val="00B421B1"/>
    <w:rsid w:val="00B54B88"/>
    <w:rsid w:val="00B55987"/>
    <w:rsid w:val="00B93BCC"/>
    <w:rsid w:val="00BB6711"/>
    <w:rsid w:val="00BC296E"/>
    <w:rsid w:val="00C039CB"/>
    <w:rsid w:val="00C03A7D"/>
    <w:rsid w:val="00C32F94"/>
    <w:rsid w:val="00C363ED"/>
    <w:rsid w:val="00C62CD4"/>
    <w:rsid w:val="00CA5904"/>
    <w:rsid w:val="00CB34A2"/>
    <w:rsid w:val="00CC3418"/>
    <w:rsid w:val="00CC371F"/>
    <w:rsid w:val="00CD0A17"/>
    <w:rsid w:val="00CD5E64"/>
    <w:rsid w:val="00CE7761"/>
    <w:rsid w:val="00D005DF"/>
    <w:rsid w:val="00D057C0"/>
    <w:rsid w:val="00D2130E"/>
    <w:rsid w:val="00D307AF"/>
    <w:rsid w:val="00D3544C"/>
    <w:rsid w:val="00D825B4"/>
    <w:rsid w:val="00D85B8D"/>
    <w:rsid w:val="00D93DDE"/>
    <w:rsid w:val="00D9786B"/>
    <w:rsid w:val="00DA5895"/>
    <w:rsid w:val="00DB427A"/>
    <w:rsid w:val="00DD6CA0"/>
    <w:rsid w:val="00DF0A9C"/>
    <w:rsid w:val="00DF603C"/>
    <w:rsid w:val="00E05287"/>
    <w:rsid w:val="00E1010E"/>
    <w:rsid w:val="00E11A47"/>
    <w:rsid w:val="00E135B1"/>
    <w:rsid w:val="00E14036"/>
    <w:rsid w:val="00E143ED"/>
    <w:rsid w:val="00E22B51"/>
    <w:rsid w:val="00E240F9"/>
    <w:rsid w:val="00E248AD"/>
    <w:rsid w:val="00E274E1"/>
    <w:rsid w:val="00E442F4"/>
    <w:rsid w:val="00E5603E"/>
    <w:rsid w:val="00E60016"/>
    <w:rsid w:val="00E72D27"/>
    <w:rsid w:val="00EB5E65"/>
    <w:rsid w:val="00ED36E9"/>
    <w:rsid w:val="00ED60E9"/>
    <w:rsid w:val="00EF772A"/>
    <w:rsid w:val="00F23948"/>
    <w:rsid w:val="00F401B4"/>
    <w:rsid w:val="00F44989"/>
    <w:rsid w:val="00F6014C"/>
    <w:rsid w:val="00F95DC8"/>
    <w:rsid w:val="00F963FE"/>
    <w:rsid w:val="00FB4AB4"/>
    <w:rsid w:val="00FC6650"/>
    <w:rsid w:val="00FD26FA"/>
    <w:rsid w:val="00FF40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A28"/>
    <w:pPr>
      <w:spacing w:after="200" w:line="276" w:lineRule="auto"/>
    </w:pPr>
  </w:style>
  <w:style w:type="paragraph" w:styleId="Heading1">
    <w:name w:val="heading 1"/>
    <w:basedOn w:val="Normal"/>
    <w:next w:val="Normal"/>
    <w:link w:val="Heading1Char"/>
    <w:uiPriority w:val="99"/>
    <w:qFormat/>
    <w:rsid w:val="002B40CB"/>
    <w:pPr>
      <w:keepNext/>
      <w:keepLines/>
      <w:spacing w:before="480" w:after="0"/>
      <w:outlineLvl w:val="0"/>
    </w:pPr>
    <w:rPr>
      <w:rFonts w:ascii="Cambria" w:eastAsia="Times New Roman" w:hAnsi="Cambria" w:cs="Times New Roman"/>
      <w:b/>
      <w:bCs/>
      <w:color w:val="365F91"/>
      <w:sz w:val="28"/>
      <w:szCs w:val="28"/>
    </w:rPr>
  </w:style>
  <w:style w:type="paragraph" w:styleId="Heading3">
    <w:name w:val="heading 3"/>
    <w:basedOn w:val="Normal"/>
    <w:next w:val="Normal"/>
    <w:link w:val="Heading3Char"/>
    <w:uiPriority w:val="99"/>
    <w:qFormat/>
    <w:rsid w:val="00F401B4"/>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9"/>
    <w:qFormat/>
    <w:rsid w:val="000C5578"/>
    <w:pPr>
      <w:keepNext/>
      <w:keepLines/>
      <w:spacing w:before="200" w:after="0"/>
      <w:outlineLvl w:val="3"/>
    </w:pPr>
    <w:rPr>
      <w:rFonts w:ascii="Cambria" w:eastAsia="Times New Roman" w:hAnsi="Cambria" w:cs="Times New Roman"/>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40CB"/>
    <w:rPr>
      <w:rFonts w:ascii="Cambria" w:hAnsi="Cambria" w:cs="Times New Roman"/>
      <w:b/>
      <w:bCs/>
      <w:color w:val="365F91"/>
      <w:sz w:val="28"/>
      <w:szCs w:val="28"/>
    </w:rPr>
  </w:style>
  <w:style w:type="character" w:customStyle="1" w:styleId="Heading3Char">
    <w:name w:val="Heading 3 Char"/>
    <w:basedOn w:val="DefaultParagraphFont"/>
    <w:link w:val="Heading3"/>
    <w:uiPriority w:val="99"/>
    <w:locked/>
    <w:rsid w:val="00F401B4"/>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0C5578"/>
    <w:rPr>
      <w:rFonts w:ascii="Cambria" w:hAnsi="Cambria" w:cs="Times New Roman"/>
      <w:b/>
      <w:bCs/>
      <w:i/>
      <w:iCs/>
      <w:color w:val="4F81BD"/>
    </w:rPr>
  </w:style>
  <w:style w:type="character" w:customStyle="1" w:styleId="apple-converted-space">
    <w:name w:val="apple-converted-space"/>
    <w:basedOn w:val="DefaultParagraphFont"/>
    <w:uiPriority w:val="99"/>
    <w:rsid w:val="002B40CB"/>
    <w:rPr>
      <w:rFonts w:cs="Times New Roman"/>
    </w:rPr>
  </w:style>
  <w:style w:type="character" w:styleId="Hyperlink">
    <w:name w:val="Hyperlink"/>
    <w:basedOn w:val="DefaultParagraphFont"/>
    <w:uiPriority w:val="99"/>
    <w:semiHidden/>
    <w:rsid w:val="002B40CB"/>
    <w:rPr>
      <w:rFonts w:cs="Times New Roman"/>
      <w:color w:val="0000FF"/>
      <w:u w:val="single"/>
    </w:rPr>
  </w:style>
  <w:style w:type="character" w:styleId="Strong">
    <w:name w:val="Strong"/>
    <w:basedOn w:val="DefaultParagraphFont"/>
    <w:uiPriority w:val="99"/>
    <w:qFormat/>
    <w:rsid w:val="002B40CB"/>
    <w:rPr>
      <w:rFonts w:cs="Times New Roman"/>
      <w:b/>
      <w:bCs/>
    </w:rPr>
  </w:style>
  <w:style w:type="paragraph" w:styleId="NormalWeb">
    <w:name w:val="Normal (Web)"/>
    <w:basedOn w:val="Normal"/>
    <w:uiPriority w:val="99"/>
    <w:rsid w:val="002B40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uiPriority w:val="99"/>
    <w:rsid w:val="005C3F48"/>
    <w:rPr>
      <w:rFonts w:cs="Times New Roman"/>
    </w:rPr>
  </w:style>
  <w:style w:type="character" w:customStyle="1" w:styleId="mw-headline">
    <w:name w:val="mw-headline"/>
    <w:basedOn w:val="DefaultParagraphFont"/>
    <w:uiPriority w:val="99"/>
    <w:rsid w:val="00F401B4"/>
    <w:rPr>
      <w:rFonts w:cs="Times New Roman"/>
    </w:rPr>
  </w:style>
  <w:style w:type="character" w:customStyle="1" w:styleId="mw-editsection-bracket">
    <w:name w:val="mw-editsection-bracket"/>
    <w:basedOn w:val="DefaultParagraphFont"/>
    <w:uiPriority w:val="99"/>
    <w:rsid w:val="00F401B4"/>
    <w:rPr>
      <w:rFonts w:cs="Times New Roman"/>
    </w:rPr>
  </w:style>
  <w:style w:type="character" w:styleId="HTMLCite">
    <w:name w:val="HTML Cite"/>
    <w:basedOn w:val="DefaultParagraphFont"/>
    <w:uiPriority w:val="99"/>
    <w:semiHidden/>
    <w:rsid w:val="00C03A7D"/>
    <w:rPr>
      <w:rFonts w:cs="Times New Roman"/>
      <w:i/>
      <w:iCs/>
    </w:rPr>
  </w:style>
  <w:style w:type="paragraph" w:styleId="BalloonText">
    <w:name w:val="Balloon Text"/>
    <w:basedOn w:val="Normal"/>
    <w:link w:val="BalloonTextChar"/>
    <w:uiPriority w:val="99"/>
    <w:semiHidden/>
    <w:rsid w:val="00A86A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6A15"/>
    <w:rPr>
      <w:rFonts w:ascii="Tahoma" w:hAnsi="Tahoma" w:cs="Tahoma"/>
      <w:sz w:val="16"/>
      <w:szCs w:val="16"/>
    </w:rPr>
  </w:style>
  <w:style w:type="paragraph" w:styleId="ListParagraph">
    <w:name w:val="List Paragraph"/>
    <w:basedOn w:val="Normal"/>
    <w:uiPriority w:val="99"/>
    <w:qFormat/>
    <w:rsid w:val="00A86A15"/>
    <w:pPr>
      <w:ind w:left="720"/>
    </w:pPr>
  </w:style>
  <w:style w:type="table" w:styleId="TableGrid">
    <w:name w:val="Table Grid"/>
    <w:basedOn w:val="TableNormal"/>
    <w:uiPriority w:val="99"/>
    <w:rsid w:val="00A4202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0">
    <w:name w:val="Pa0"/>
    <w:basedOn w:val="Normal"/>
    <w:next w:val="Normal"/>
    <w:uiPriority w:val="99"/>
    <w:rsid w:val="003B6839"/>
    <w:pPr>
      <w:autoSpaceDE w:val="0"/>
      <w:autoSpaceDN w:val="0"/>
      <w:adjustRightInd w:val="0"/>
      <w:spacing w:after="0" w:line="241" w:lineRule="atLeast"/>
    </w:pPr>
    <w:rPr>
      <w:rFonts w:ascii="Garamond 3" w:hAnsi="Garamond 3"/>
      <w:sz w:val="24"/>
      <w:szCs w:val="24"/>
    </w:rPr>
  </w:style>
  <w:style w:type="character" w:customStyle="1" w:styleId="cit-pub-date">
    <w:name w:val="cit-pub-date"/>
    <w:basedOn w:val="DefaultParagraphFont"/>
    <w:uiPriority w:val="99"/>
    <w:rsid w:val="00AB7502"/>
    <w:rPr>
      <w:rFonts w:cs="Times New Roman"/>
    </w:rPr>
  </w:style>
  <w:style w:type="character" w:customStyle="1" w:styleId="cit-source">
    <w:name w:val="cit-source"/>
    <w:basedOn w:val="DefaultParagraphFont"/>
    <w:uiPriority w:val="99"/>
    <w:rsid w:val="00AB7502"/>
    <w:rPr>
      <w:rFonts w:cs="Times New Roman"/>
    </w:rPr>
  </w:style>
  <w:style w:type="character" w:customStyle="1" w:styleId="cit-fpage">
    <w:name w:val="cit-fpage"/>
    <w:basedOn w:val="DefaultParagraphFont"/>
    <w:uiPriority w:val="99"/>
    <w:rsid w:val="00AB7502"/>
    <w:rPr>
      <w:rFonts w:cs="Times New Roman"/>
    </w:rPr>
  </w:style>
  <w:style w:type="character" w:customStyle="1" w:styleId="cit-vol">
    <w:name w:val="cit-vol"/>
    <w:basedOn w:val="DefaultParagraphFont"/>
    <w:uiPriority w:val="99"/>
    <w:rsid w:val="00AB7502"/>
    <w:rPr>
      <w:rFonts w:cs="Times New Roman"/>
    </w:rPr>
  </w:style>
  <w:style w:type="character" w:customStyle="1" w:styleId="cit-name-surname">
    <w:name w:val="cit-name-surname"/>
    <w:basedOn w:val="DefaultParagraphFont"/>
    <w:uiPriority w:val="99"/>
    <w:rsid w:val="003A7C03"/>
    <w:rPr>
      <w:rFonts w:cs="Times New Roman"/>
    </w:rPr>
  </w:style>
  <w:style w:type="paragraph" w:styleId="Header">
    <w:name w:val="header"/>
    <w:basedOn w:val="Normal"/>
    <w:link w:val="HeaderChar"/>
    <w:uiPriority w:val="99"/>
    <w:semiHidden/>
    <w:rsid w:val="00A72A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72A2D"/>
    <w:rPr>
      <w:rFonts w:cs="Times New Roman"/>
    </w:rPr>
  </w:style>
  <w:style w:type="paragraph" w:styleId="Footer">
    <w:name w:val="footer"/>
    <w:basedOn w:val="Normal"/>
    <w:link w:val="FooterChar"/>
    <w:uiPriority w:val="99"/>
    <w:rsid w:val="00A72A2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72A2D"/>
    <w:rPr>
      <w:rFonts w:cs="Times New Roman"/>
    </w:rPr>
  </w:style>
  <w:style w:type="paragraph" w:customStyle="1" w:styleId="paragraph">
    <w:name w:val="paragraph"/>
    <w:basedOn w:val="Normal"/>
    <w:uiPriority w:val="99"/>
    <w:rsid w:val="00AB24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uiPriority w:val="99"/>
    <w:rsid w:val="00AB246A"/>
    <w:rPr>
      <w:rFonts w:cs="Times New Roman"/>
    </w:rPr>
  </w:style>
  <w:style w:type="character" w:customStyle="1" w:styleId="normaltextrun">
    <w:name w:val="normaltextrun"/>
    <w:basedOn w:val="DefaultParagraphFont"/>
    <w:uiPriority w:val="99"/>
    <w:rsid w:val="00AB246A"/>
    <w:rPr>
      <w:rFonts w:cs="Times New Roman"/>
    </w:rPr>
  </w:style>
</w:styles>
</file>

<file path=word/webSettings.xml><?xml version="1.0" encoding="utf-8"?>
<w:webSettings xmlns:r="http://schemas.openxmlformats.org/officeDocument/2006/relationships" xmlns:w="http://schemas.openxmlformats.org/wordprocessingml/2006/main">
  <w:divs>
    <w:div w:id="2018455876">
      <w:marLeft w:val="0"/>
      <w:marRight w:val="0"/>
      <w:marTop w:val="0"/>
      <w:marBottom w:val="0"/>
      <w:divBdr>
        <w:top w:val="none" w:sz="0" w:space="0" w:color="auto"/>
        <w:left w:val="none" w:sz="0" w:space="0" w:color="auto"/>
        <w:bottom w:val="none" w:sz="0" w:space="0" w:color="auto"/>
        <w:right w:val="none" w:sz="0" w:space="0" w:color="auto"/>
      </w:divBdr>
      <w:divsChild>
        <w:div w:id="2018455871">
          <w:marLeft w:val="0"/>
          <w:marRight w:val="0"/>
          <w:marTop w:val="0"/>
          <w:marBottom w:val="0"/>
          <w:divBdr>
            <w:top w:val="none" w:sz="0" w:space="0" w:color="auto"/>
            <w:left w:val="none" w:sz="0" w:space="0" w:color="auto"/>
            <w:bottom w:val="none" w:sz="0" w:space="0" w:color="auto"/>
            <w:right w:val="none" w:sz="0" w:space="0" w:color="auto"/>
          </w:divBdr>
        </w:div>
        <w:div w:id="2018455872">
          <w:marLeft w:val="0"/>
          <w:marRight w:val="0"/>
          <w:marTop w:val="0"/>
          <w:marBottom w:val="0"/>
          <w:divBdr>
            <w:top w:val="none" w:sz="0" w:space="0" w:color="auto"/>
            <w:left w:val="none" w:sz="0" w:space="0" w:color="auto"/>
            <w:bottom w:val="none" w:sz="0" w:space="0" w:color="auto"/>
            <w:right w:val="none" w:sz="0" w:space="0" w:color="auto"/>
          </w:divBdr>
        </w:div>
        <w:div w:id="2018455873">
          <w:marLeft w:val="0"/>
          <w:marRight w:val="0"/>
          <w:marTop w:val="0"/>
          <w:marBottom w:val="0"/>
          <w:divBdr>
            <w:top w:val="none" w:sz="0" w:space="0" w:color="auto"/>
            <w:left w:val="none" w:sz="0" w:space="0" w:color="auto"/>
            <w:bottom w:val="none" w:sz="0" w:space="0" w:color="auto"/>
            <w:right w:val="none" w:sz="0" w:space="0" w:color="auto"/>
          </w:divBdr>
        </w:div>
        <w:div w:id="2018455874">
          <w:marLeft w:val="0"/>
          <w:marRight w:val="0"/>
          <w:marTop w:val="0"/>
          <w:marBottom w:val="0"/>
          <w:divBdr>
            <w:top w:val="none" w:sz="0" w:space="0" w:color="auto"/>
            <w:left w:val="none" w:sz="0" w:space="0" w:color="auto"/>
            <w:bottom w:val="none" w:sz="0" w:space="0" w:color="auto"/>
            <w:right w:val="none" w:sz="0" w:space="0" w:color="auto"/>
          </w:divBdr>
        </w:div>
        <w:div w:id="2018455875">
          <w:marLeft w:val="0"/>
          <w:marRight w:val="0"/>
          <w:marTop w:val="0"/>
          <w:marBottom w:val="0"/>
          <w:divBdr>
            <w:top w:val="none" w:sz="0" w:space="0" w:color="auto"/>
            <w:left w:val="none" w:sz="0" w:space="0" w:color="auto"/>
            <w:bottom w:val="none" w:sz="0" w:space="0" w:color="auto"/>
            <w:right w:val="none" w:sz="0" w:space="0" w:color="auto"/>
          </w:divBdr>
        </w:div>
        <w:div w:id="2018455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Iron_overload" TargetMode="External"/><Relationship Id="rId18" Type="http://schemas.openxmlformats.org/officeDocument/2006/relationships/hyperlink" Target="http://www.ncbi.nlm.nih.gov/pubmed/?term=Ward%20K%5BAuthor%5D&amp;cauthor=true&amp;cauthor_uid=20668038" TargetMode="External"/><Relationship Id="rId26" Type="http://schemas.openxmlformats.org/officeDocument/2006/relationships/hyperlink" Target="http://www.ncbi.nlm.nih.gov/pubmed/?term=Cooper%20C%5BAuthor%5D&amp;cauthor=true&amp;cauthor_uid=12111012" TargetMode="External"/><Relationship Id="rId39" Type="http://schemas.openxmlformats.org/officeDocument/2006/relationships/hyperlink" Target="http://www.hindawi.com/32852198/" TargetMode="External"/><Relationship Id="rId21" Type="http://schemas.openxmlformats.org/officeDocument/2006/relationships/hyperlink" Target="http://www.ncbi.nlm.nih.gov/pubmed/?term=Adams%20J%5BAuthor%5D&amp;cauthor=true&amp;cauthor_uid=20668038" TargetMode="External"/><Relationship Id="rId34" Type="http://schemas.openxmlformats.org/officeDocument/2006/relationships/hyperlink" Target="http://www.ncbi.nlm.nih.gov/pubmed?term=Fikry%20SI%5BAuthor%5D&amp;cauthor=true&amp;cauthor_uid=17219912" TargetMode="External"/><Relationship Id="rId42" Type="http://schemas.openxmlformats.org/officeDocument/2006/relationships/hyperlink" Target="http://www.hindawi.com/38723760/" TargetMode="External"/><Relationship Id="rId47" Type="http://schemas.openxmlformats.org/officeDocument/2006/relationships/hyperlink" Target="javascript:void(0);" TargetMode="External"/><Relationship Id="rId50" Type="http://schemas.openxmlformats.org/officeDocument/2006/relationships/hyperlink" Target="http://www.ncbi.nlm.nih.gov/pubmed?term=Kwiatkowski%20JL%5BAuthor%5D&amp;cauthor=true&amp;cauthor_uid=23945720" TargetMode="External"/><Relationship Id="rId55" Type="http://schemas.openxmlformats.org/officeDocument/2006/relationships/hyperlink" Target="http://www.ncbi.nlm.nih.gov/pubmed/23945720" TargetMode="External"/><Relationship Id="rId7" Type="http://schemas.openxmlformats.org/officeDocument/2006/relationships/hyperlink" Target="http://en.wikipedia.org/wiki/Autosomal_recessive" TargetMode="External"/><Relationship Id="rId12" Type="http://schemas.openxmlformats.org/officeDocument/2006/relationships/hyperlink" Target="http://health.nytimes.com/health/guides/symptoms/breathing-difficulty/overview.html" TargetMode="External"/><Relationship Id="rId17" Type="http://schemas.openxmlformats.org/officeDocument/2006/relationships/hyperlink" Target="http://www.ncbi.nlm.nih.gov/pubmed/?term=Kocks%20J%5BAuthor%5D&amp;cauthor=true&amp;cauthor_uid=20668038" TargetMode="External"/><Relationship Id="rId25" Type="http://schemas.openxmlformats.org/officeDocument/2006/relationships/hyperlink" Target="http://www.ncbi.nlm.nih.gov/pubmed/?term=Black%20D%5BAuthor%5D&amp;cauthor=true&amp;cauthor_uid=12111012" TargetMode="External"/><Relationship Id="rId33" Type="http://schemas.openxmlformats.org/officeDocument/2006/relationships/hyperlink" Target="http://www.ncbi.nlm.nih.gov/pubmed/12111012?dopt=abstract" TargetMode="External"/><Relationship Id="rId38" Type="http://schemas.openxmlformats.org/officeDocument/2006/relationships/hyperlink" Target="http://www.ncbi.nlm.nih.gov/pubmed/17219912" TargetMode="External"/><Relationship Id="rId46" Type="http://schemas.openxmlformats.org/officeDocument/2006/relationships/hyperlink" Target="javascript:void(0);"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men.webmd.com/guide/7-sex-mistakes-men-make" TargetMode="External"/><Relationship Id="rId20" Type="http://schemas.openxmlformats.org/officeDocument/2006/relationships/hyperlink" Target="http://www.ncbi.nlm.nih.gov/pubmed/?term=Moncayo%20R%5BAuthor%5D&amp;cauthor=true&amp;cauthor_uid=20668038" TargetMode="External"/><Relationship Id="rId29" Type="http://schemas.openxmlformats.org/officeDocument/2006/relationships/hyperlink" Target="http://www.ncbi.nlm.nih.gov/pubmed/?term=De%20Laet%20C%5BAuthor%5D&amp;cauthor=true&amp;cauthor_uid=12111012" TargetMode="External"/><Relationship Id="rId41" Type="http://schemas.openxmlformats.org/officeDocument/2006/relationships/hyperlink" Target="http://www.hindawi.com/30641487/" TargetMode="External"/><Relationship Id="rId54" Type="http://schemas.openxmlformats.org/officeDocument/2006/relationships/hyperlink" Target="http://www.ncbi.nlm.nih.gov/pubmed?term=Vichinsky%20EP%5BAuthor%5D&amp;cauthor=true&amp;cauthor_uid=239457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ealth.nytimes.com/health/guides/symptoms/fatigue/overview.html" TargetMode="External"/><Relationship Id="rId24" Type="http://schemas.openxmlformats.org/officeDocument/2006/relationships/hyperlink" Target="http://www.ncbi.nlm.nih.gov/pubmed/?term=Kanis%20JA%5BAuthor%5D&amp;cauthor=true&amp;cauthor_uid=12111012" TargetMode="External"/><Relationship Id="rId32" Type="http://schemas.openxmlformats.org/officeDocument/2006/relationships/hyperlink" Target="http://www.ncbi.nlm.nih.gov/pubmed/?term=Johnell%20O%5BAuthor%5D&amp;cauthor=true&amp;cauthor_uid=12111012" TargetMode="External"/><Relationship Id="rId37" Type="http://schemas.openxmlformats.org/officeDocument/2006/relationships/hyperlink" Target="http://www.ncbi.nlm.nih.gov/pubmed?term=Mangoud%20H%5BAuthor%5D&amp;cauthor=true&amp;cauthor_uid=17219912" TargetMode="External"/><Relationship Id="rId40" Type="http://schemas.openxmlformats.org/officeDocument/2006/relationships/hyperlink" Target="http://www.hindawi.com/67482987/" TargetMode="External"/><Relationship Id="rId45" Type="http://schemas.openxmlformats.org/officeDocument/2006/relationships/hyperlink" Target="http://www.hindawi.com/67916508/" TargetMode="External"/><Relationship Id="rId53" Type="http://schemas.openxmlformats.org/officeDocument/2006/relationships/hyperlink" Target="http://www.ncbi.nlm.nih.gov/pubmed?term=King%20JC%5BAuthor%5D&amp;cauthor=true&amp;cauthor_uid=23945720"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webmd.com/cancer/what-to-expect-from-radiation-therapy" TargetMode="External"/><Relationship Id="rId23" Type="http://schemas.openxmlformats.org/officeDocument/2006/relationships/hyperlink" Target="http://www.ncbi.nlm.nih.gov/pubmed/20668038" TargetMode="External"/><Relationship Id="rId28" Type="http://schemas.openxmlformats.org/officeDocument/2006/relationships/hyperlink" Target="http://www.ncbi.nlm.nih.gov/pubmed/?term=Dawson-Hughes%20B%5BAuthor%5D&amp;cauthor=true&amp;cauthor_uid=12111012" TargetMode="External"/><Relationship Id="rId36" Type="http://schemas.openxmlformats.org/officeDocument/2006/relationships/hyperlink" Target="http://www.ncbi.nlm.nih.gov/pubmed?term=Sarkis%20NN%5BAuthor%5D&amp;cauthor=true&amp;cauthor_uid=17219912" TargetMode="External"/><Relationship Id="rId49" Type="http://schemas.openxmlformats.org/officeDocument/2006/relationships/hyperlink" Target="http://www.ncbi.nlm.nih.gov/pubmed?term=Fung%20EB%5BAuthor%5D&amp;cauthor=true&amp;cauthor_uid=23945720" TargetMode="External"/><Relationship Id="rId57" Type="http://schemas.openxmlformats.org/officeDocument/2006/relationships/footer" Target="footer1.xml"/><Relationship Id="rId10" Type="http://schemas.openxmlformats.org/officeDocument/2006/relationships/hyperlink" Target="http://en.wikipedia.org/wiki/Microcytic_anemia" TargetMode="External"/><Relationship Id="rId19" Type="http://schemas.openxmlformats.org/officeDocument/2006/relationships/hyperlink" Target="http://www.ncbi.nlm.nih.gov/pubmed/?term=Mughal%20Z%5BAuthor%5D&amp;cauthor=true&amp;cauthor_uid=20668038" TargetMode="External"/><Relationship Id="rId31" Type="http://schemas.openxmlformats.org/officeDocument/2006/relationships/hyperlink" Target="http://www.ncbi.nlm.nih.gov/pubmed/?term=Eisman%20J%5BAuthor%5D&amp;cauthor=true&amp;cauthor_uid=12111012" TargetMode="External"/><Relationship Id="rId44" Type="http://schemas.openxmlformats.org/officeDocument/2006/relationships/hyperlink" Target="http://www.hindawi.com/31485863/" TargetMode="External"/><Relationship Id="rId52" Type="http://schemas.openxmlformats.org/officeDocument/2006/relationships/hyperlink" Target="http://www.ncbi.nlm.nih.gov/pubmed?term=Gildengorin%20G%5BAuthor%5D&amp;cauthor=true&amp;cauthor_uid=23945720" TargetMode="External"/><Relationship Id="rId4" Type="http://schemas.openxmlformats.org/officeDocument/2006/relationships/webSettings" Target="webSettings.xml"/><Relationship Id="rId9" Type="http://schemas.openxmlformats.org/officeDocument/2006/relationships/hyperlink" Target="http://en.wikipedia.org/wiki/Hemoglobin" TargetMode="External"/><Relationship Id="rId14" Type="http://schemas.openxmlformats.org/officeDocument/2006/relationships/hyperlink" Target="http://en.wikipedia.org/wiki/Splenomegaly" TargetMode="External"/><Relationship Id="rId22" Type="http://schemas.openxmlformats.org/officeDocument/2006/relationships/hyperlink" Target="http://www.ncbi.nlm.nih.gov/pubmed/?term=H%C3%B6gler%20W%5BAuthor%5D&amp;cauthor=true&amp;cauthor_uid=20668038" TargetMode="External"/><Relationship Id="rId27" Type="http://schemas.openxmlformats.org/officeDocument/2006/relationships/hyperlink" Target="http://www.ncbi.nlm.nih.gov/pubmed/?term=Dargent%20P%5BAuthor%5D&amp;cauthor=true&amp;cauthor_uid=12111012" TargetMode="External"/><Relationship Id="rId30" Type="http://schemas.openxmlformats.org/officeDocument/2006/relationships/hyperlink" Target="http://www.ncbi.nlm.nih.gov/pubmed/?term=Delmas%20P%5BAuthor%5D&amp;cauthor=true&amp;cauthor_uid=12111012" TargetMode="External"/><Relationship Id="rId35" Type="http://schemas.openxmlformats.org/officeDocument/2006/relationships/hyperlink" Target="http://www.ncbi.nlm.nih.gov/pubmed?term=Saleh%20SA%5BAuthor%5D&amp;cauthor=true&amp;cauthor_uid=17219912" TargetMode="External"/><Relationship Id="rId43" Type="http://schemas.openxmlformats.org/officeDocument/2006/relationships/hyperlink" Target="http://www.hindawi.com/52763474/" TargetMode="External"/><Relationship Id="rId48" Type="http://schemas.openxmlformats.org/officeDocument/2006/relationships/hyperlink" Target="javascript:void(0);" TargetMode="External"/><Relationship Id="rId56" Type="http://schemas.openxmlformats.org/officeDocument/2006/relationships/header" Target="header1.xml"/><Relationship Id="rId8" Type="http://schemas.openxmlformats.org/officeDocument/2006/relationships/hyperlink" Target="http://en.wikipedia.org/wiki/Blood_disorders" TargetMode="External"/><Relationship Id="rId51" Type="http://schemas.openxmlformats.org/officeDocument/2006/relationships/hyperlink" Target="http://www.ncbi.nlm.nih.gov/pubmed?term=Huang%20JN%5BAuthor%5D&amp;cauthor=true&amp;cauthor_uid=2394572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13</Pages>
  <Words>5044</Words>
  <Characters>28753</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 of Zinc Supplementation on Linear Growth and Bone Mineral ‎Density in Prepubertal Children with β -Thalassemia Major</dc:title>
  <dc:subject/>
  <dc:creator>welcome</dc:creator>
  <cp:keywords/>
  <dc:description/>
  <cp:lastModifiedBy>mdht</cp:lastModifiedBy>
  <cp:revision>4</cp:revision>
  <cp:lastPrinted>2015-06-28T08:36:00Z</cp:lastPrinted>
  <dcterms:created xsi:type="dcterms:W3CDTF">2015-07-04T21:06:00Z</dcterms:created>
  <dcterms:modified xsi:type="dcterms:W3CDTF">2015-10-25T08:28:00Z</dcterms:modified>
</cp:coreProperties>
</file>