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182" w:rsidRPr="00110AF4" w:rsidRDefault="00A23182" w:rsidP="00F407E7">
      <w:pPr>
        <w:spacing w:after="0" w:line="360" w:lineRule="auto"/>
        <w:ind w:firstLine="425"/>
        <w:jc w:val="center"/>
      </w:pPr>
      <w:r w:rsidRPr="00110AF4">
        <w:t>Effectiveness Of Carbamazepine In Treatment Of ADHD In Children with EEG abnormalities</w:t>
      </w:r>
    </w:p>
    <w:p w:rsidR="00A23182" w:rsidRPr="00110AF4" w:rsidRDefault="00A23182" w:rsidP="00F407E7">
      <w:pPr>
        <w:spacing w:after="0" w:line="360" w:lineRule="auto"/>
        <w:ind w:firstLine="425"/>
        <w:jc w:val="center"/>
      </w:pPr>
      <w:r w:rsidRPr="00110AF4">
        <w:t>Olweya Mohamed Abdel Baky</w:t>
      </w:r>
    </w:p>
    <w:p w:rsidR="00A23182" w:rsidRPr="00110AF4" w:rsidRDefault="00A23182" w:rsidP="00563769">
      <w:pPr>
        <w:spacing w:after="0" w:line="360" w:lineRule="auto"/>
        <w:ind w:firstLine="425"/>
        <w:jc w:val="center"/>
      </w:pPr>
      <w:r w:rsidRPr="00110AF4">
        <w:t>Professor of child psychiatry instit</w:t>
      </w:r>
      <w:bookmarkStart w:id="0" w:name="_GoBack"/>
      <w:bookmarkEnd w:id="0"/>
      <w:r w:rsidRPr="00110AF4">
        <w:t>ute of post graduate childhood studies Ain shams University</w:t>
      </w:r>
    </w:p>
    <w:p w:rsidR="00A23182" w:rsidRPr="00110AF4" w:rsidRDefault="00A23182" w:rsidP="00F407E7">
      <w:pPr>
        <w:spacing w:after="0" w:line="360" w:lineRule="auto"/>
        <w:ind w:firstLine="425"/>
        <w:jc w:val="center"/>
      </w:pPr>
      <w:r w:rsidRPr="00110AF4">
        <w:t>Safeya Mahmoud Effat</w:t>
      </w:r>
    </w:p>
    <w:p w:rsidR="00A23182" w:rsidRPr="00110AF4" w:rsidRDefault="00A23182" w:rsidP="00563769">
      <w:pPr>
        <w:spacing w:after="0" w:line="360" w:lineRule="auto"/>
        <w:ind w:firstLine="425"/>
        <w:jc w:val="center"/>
      </w:pPr>
      <w:r w:rsidRPr="00110AF4">
        <w:t>Professor of child psychiatry  faculty of medicine Ain shams University</w:t>
      </w:r>
    </w:p>
    <w:p w:rsidR="00A23182" w:rsidRPr="00110AF4" w:rsidRDefault="00A23182" w:rsidP="007C6924">
      <w:pPr>
        <w:spacing w:after="0" w:line="360" w:lineRule="auto"/>
        <w:ind w:firstLine="425"/>
        <w:jc w:val="both"/>
      </w:pPr>
      <w:r w:rsidRPr="00110AF4">
        <w:t>Sara Ali Galal</w:t>
      </w:r>
    </w:p>
    <w:p w:rsidR="00A23182" w:rsidRPr="00110AF4" w:rsidRDefault="00A23182" w:rsidP="007C6924">
      <w:pPr>
        <w:spacing w:after="0" w:line="360" w:lineRule="auto"/>
        <w:ind w:firstLine="425"/>
        <w:jc w:val="both"/>
      </w:pPr>
      <w:r w:rsidRPr="00110AF4">
        <w:t>Abstract:</w:t>
      </w:r>
    </w:p>
    <w:p w:rsidR="00A23182" w:rsidRPr="00110AF4" w:rsidRDefault="00A23182" w:rsidP="007C6924">
      <w:pPr>
        <w:spacing w:after="0" w:line="360" w:lineRule="auto"/>
        <w:ind w:firstLine="425"/>
        <w:jc w:val="both"/>
      </w:pPr>
      <w:r w:rsidRPr="00110AF4">
        <w:t>Background: Attention deficit/hyperactivity disorder is a common neurodevelopmental disorder in children. Abnormal electrophysiological findings with no clinical epilepsy is a common finding in ADHD as compared to normal children. The aim of this study was to assess the efficacy and tolerability of carbamazepine (CBZ) in ADHD children who have abnormal EEG findings.</w:t>
      </w:r>
    </w:p>
    <w:p w:rsidR="00A23182" w:rsidRPr="00110AF4" w:rsidRDefault="00A23182" w:rsidP="007C6924">
      <w:pPr>
        <w:spacing w:after="0" w:line="360" w:lineRule="auto"/>
        <w:ind w:firstLine="425"/>
        <w:jc w:val="both"/>
      </w:pPr>
      <w:r w:rsidRPr="00110AF4">
        <w:t>Methods: fifteen drug naïve ADHD children (13 boys, 2 girls; mean age, 6.62 years; range 4-10) with EEG abnormalities but no clinical seizures were included. Cases with comorbid developmental or mental disturbances other than specific learning disability were excluded. All were treated with carbamazepine (mean dose 5 mg/kg/day). They were followed up through a period of 8 weeks for symptom improvement and occurrence of side effects. Improvement was measured using the parents form ADHD rating scale 4; before and after CBZ treatment. Complete blood count and liver enzyme assessment were performed before and after carbamazepine treatment.</w:t>
      </w:r>
    </w:p>
    <w:p w:rsidR="00A23182" w:rsidRPr="00110AF4" w:rsidRDefault="00A23182" w:rsidP="007C6924">
      <w:pPr>
        <w:spacing w:after="0" w:line="360" w:lineRule="auto"/>
        <w:ind w:firstLine="425"/>
        <w:jc w:val="both"/>
      </w:pPr>
      <w:r w:rsidRPr="00110AF4">
        <w:t>Results: there was statistically significant improvement in mean ADHD rating scale scores specifically in the domains of inattention and combined symptoms while there was no improvement in hyperactivity scores. Reported side effects were mild abdominal discomfort in 2 cases and sedation in 3 cases. No dermatological, hematological or hepatic side effects were reported and no cases had elevated liver enzymes.</w:t>
      </w:r>
    </w:p>
    <w:p w:rsidR="00A23182" w:rsidRPr="00110AF4" w:rsidRDefault="00A23182" w:rsidP="007C6924">
      <w:pPr>
        <w:spacing w:after="0" w:line="360" w:lineRule="auto"/>
        <w:ind w:firstLine="425"/>
        <w:jc w:val="both"/>
      </w:pPr>
      <w:r w:rsidRPr="00110AF4">
        <w:t>Conclusion: low dose carbamazepine can be a well tolerated and effective treatment in some cases of ADHD associated with abnormal EEG findings.</w:t>
      </w:r>
    </w:p>
    <w:p w:rsidR="00A23182" w:rsidRPr="00110AF4" w:rsidRDefault="00A23182" w:rsidP="007C6924">
      <w:pPr>
        <w:spacing w:after="0" w:line="360" w:lineRule="auto"/>
        <w:ind w:firstLine="425"/>
        <w:jc w:val="both"/>
      </w:pPr>
      <w:r w:rsidRPr="00110AF4">
        <w:t>Key words:</w:t>
      </w:r>
    </w:p>
    <w:p w:rsidR="00A23182" w:rsidRPr="00110AF4" w:rsidRDefault="00A23182" w:rsidP="007C6924">
      <w:pPr>
        <w:autoSpaceDE w:val="0"/>
        <w:autoSpaceDN w:val="0"/>
        <w:adjustRightInd w:val="0"/>
        <w:spacing w:after="0" w:line="360" w:lineRule="auto"/>
        <w:ind w:firstLine="425"/>
        <w:jc w:val="both"/>
      </w:pPr>
      <w:r w:rsidRPr="00110AF4">
        <w:t>Attention deficit hyperactivity disorder, carbamazepine, electroencephalography, ADHD rating scale</w:t>
      </w:r>
    </w:p>
    <w:p w:rsidR="00A23182" w:rsidRPr="00110AF4" w:rsidRDefault="00A23182" w:rsidP="007C6924">
      <w:pPr>
        <w:autoSpaceDE w:val="0"/>
        <w:autoSpaceDN w:val="0"/>
        <w:bidi/>
        <w:adjustRightInd w:val="0"/>
        <w:spacing w:after="0" w:line="360" w:lineRule="auto"/>
        <w:ind w:firstLine="425"/>
        <w:jc w:val="both"/>
        <w:rPr>
          <w:rtl/>
        </w:rPr>
      </w:pPr>
      <w:r w:rsidRPr="00110AF4">
        <w:rPr>
          <w:rFonts w:hint="eastAsia"/>
          <w:rtl/>
        </w:rPr>
        <w:t>دراسة</w:t>
      </w:r>
      <w:r w:rsidRPr="00110AF4">
        <w:rPr>
          <w:rtl/>
        </w:rPr>
        <w:t xml:space="preserve"> </w:t>
      </w:r>
      <w:r w:rsidRPr="00110AF4">
        <w:rPr>
          <w:rFonts w:hint="eastAsia"/>
          <w:rtl/>
        </w:rPr>
        <w:t>فاعلية</w:t>
      </w:r>
      <w:r w:rsidRPr="00110AF4">
        <w:rPr>
          <w:rtl/>
        </w:rPr>
        <w:t xml:space="preserve"> </w:t>
      </w:r>
      <w:r w:rsidRPr="00110AF4">
        <w:rPr>
          <w:rFonts w:hint="eastAsia"/>
          <w:rtl/>
        </w:rPr>
        <w:t>عقار</w:t>
      </w:r>
      <w:r w:rsidRPr="00110AF4">
        <w:rPr>
          <w:rtl/>
        </w:rPr>
        <w:t xml:space="preserve"> </w:t>
      </w:r>
      <w:r w:rsidRPr="00110AF4">
        <w:rPr>
          <w:rFonts w:hint="eastAsia"/>
          <w:rtl/>
        </w:rPr>
        <w:t>الكاربامازيبين</w:t>
      </w:r>
      <w:r w:rsidRPr="00110AF4">
        <w:rPr>
          <w:rtl/>
        </w:rPr>
        <w:t xml:space="preserve"> </w:t>
      </w:r>
      <w:r w:rsidRPr="00110AF4">
        <w:rPr>
          <w:rFonts w:hint="eastAsia"/>
          <w:rtl/>
        </w:rPr>
        <w:t>في</w:t>
      </w:r>
      <w:r w:rsidRPr="00110AF4">
        <w:rPr>
          <w:rtl/>
        </w:rPr>
        <w:t xml:space="preserve"> </w:t>
      </w:r>
      <w:r w:rsidRPr="00110AF4">
        <w:rPr>
          <w:rFonts w:hint="eastAsia"/>
          <w:rtl/>
        </w:rPr>
        <w:t>علاج</w:t>
      </w:r>
      <w:r w:rsidRPr="00110AF4">
        <w:rPr>
          <w:rtl/>
        </w:rPr>
        <w:t xml:space="preserve"> </w:t>
      </w:r>
      <w:r w:rsidRPr="00110AF4">
        <w:rPr>
          <w:rFonts w:hint="eastAsia"/>
          <w:rtl/>
        </w:rPr>
        <w:t>الأطفال</w:t>
      </w:r>
      <w:r w:rsidRPr="00110AF4">
        <w:rPr>
          <w:rtl/>
        </w:rPr>
        <w:t xml:space="preserve"> </w:t>
      </w:r>
      <w:r w:rsidRPr="00110AF4">
        <w:rPr>
          <w:rFonts w:hint="eastAsia"/>
          <w:rtl/>
        </w:rPr>
        <w:t>المصابين</w:t>
      </w:r>
      <w:r w:rsidRPr="00110AF4">
        <w:rPr>
          <w:rtl/>
        </w:rPr>
        <w:t xml:space="preserve"> </w:t>
      </w:r>
      <w:r w:rsidRPr="00110AF4">
        <w:rPr>
          <w:rFonts w:hint="eastAsia"/>
          <w:rtl/>
        </w:rPr>
        <w:t>باضطراب</w:t>
      </w:r>
      <w:r w:rsidRPr="00110AF4">
        <w:rPr>
          <w:rtl/>
        </w:rPr>
        <w:t xml:space="preserve"> </w:t>
      </w:r>
      <w:r w:rsidRPr="00110AF4">
        <w:rPr>
          <w:rFonts w:hint="eastAsia"/>
          <w:rtl/>
        </w:rPr>
        <w:t>فرط</w:t>
      </w:r>
      <w:r w:rsidRPr="00110AF4">
        <w:rPr>
          <w:rtl/>
        </w:rPr>
        <w:t xml:space="preserve"> </w:t>
      </w:r>
      <w:r w:rsidRPr="00110AF4">
        <w:rPr>
          <w:rFonts w:hint="eastAsia"/>
          <w:rtl/>
        </w:rPr>
        <w:t>الحركة</w:t>
      </w:r>
      <w:r w:rsidRPr="00110AF4">
        <w:rPr>
          <w:rtl/>
        </w:rPr>
        <w:t xml:space="preserve"> </w:t>
      </w:r>
      <w:r w:rsidRPr="00110AF4">
        <w:rPr>
          <w:rFonts w:hint="eastAsia"/>
          <w:rtl/>
        </w:rPr>
        <w:t>ونقص</w:t>
      </w:r>
      <w:r w:rsidRPr="00110AF4">
        <w:rPr>
          <w:rtl/>
        </w:rPr>
        <w:t xml:space="preserve"> </w:t>
      </w:r>
      <w:r w:rsidRPr="00110AF4">
        <w:rPr>
          <w:rFonts w:hint="eastAsia"/>
          <w:rtl/>
        </w:rPr>
        <w:t>الانتباه</w:t>
      </w:r>
    </w:p>
    <w:p w:rsidR="00A23182" w:rsidRPr="00110AF4" w:rsidRDefault="00A23182" w:rsidP="007C6924">
      <w:pPr>
        <w:autoSpaceDE w:val="0"/>
        <w:autoSpaceDN w:val="0"/>
        <w:bidi/>
        <w:adjustRightInd w:val="0"/>
        <w:spacing w:after="0" w:line="360" w:lineRule="auto"/>
        <w:ind w:firstLine="425"/>
        <w:jc w:val="both"/>
        <w:rPr>
          <w:rtl/>
        </w:rPr>
      </w:pPr>
      <w:r w:rsidRPr="00110AF4">
        <w:rPr>
          <w:rFonts w:hint="eastAsia"/>
          <w:rtl/>
        </w:rPr>
        <w:t>مـقـــــدمـــــــــــــــــة</w:t>
      </w:r>
      <w:r w:rsidRPr="00110AF4">
        <w:rPr>
          <w:rtl/>
        </w:rPr>
        <w:t>:</w:t>
      </w:r>
    </w:p>
    <w:p w:rsidR="00A23182" w:rsidRPr="00110AF4" w:rsidRDefault="00A23182" w:rsidP="007C6924">
      <w:pPr>
        <w:autoSpaceDE w:val="0"/>
        <w:autoSpaceDN w:val="0"/>
        <w:bidi/>
        <w:adjustRightInd w:val="0"/>
        <w:spacing w:after="0" w:line="360" w:lineRule="auto"/>
        <w:ind w:firstLine="425"/>
        <w:jc w:val="both"/>
        <w:rPr>
          <w:rtl/>
        </w:rPr>
      </w:pPr>
      <w:r w:rsidRPr="00110AF4">
        <w:rPr>
          <w:rFonts w:hint="eastAsia"/>
          <w:rtl/>
        </w:rPr>
        <w:t>اضطراب</w:t>
      </w:r>
      <w:r w:rsidRPr="00110AF4">
        <w:rPr>
          <w:rtl/>
        </w:rPr>
        <w:t xml:space="preserve"> </w:t>
      </w:r>
      <w:r w:rsidRPr="00110AF4">
        <w:rPr>
          <w:rFonts w:hint="eastAsia"/>
          <w:rtl/>
        </w:rPr>
        <w:t>فرط</w:t>
      </w:r>
      <w:r w:rsidRPr="00110AF4">
        <w:rPr>
          <w:rtl/>
        </w:rPr>
        <w:t xml:space="preserve"> </w:t>
      </w:r>
      <w:r w:rsidRPr="00110AF4">
        <w:rPr>
          <w:rFonts w:hint="eastAsia"/>
          <w:rtl/>
        </w:rPr>
        <w:t>الحركة</w:t>
      </w:r>
      <w:r w:rsidRPr="00110AF4">
        <w:rPr>
          <w:rtl/>
        </w:rPr>
        <w:t xml:space="preserve"> </w:t>
      </w:r>
      <w:r w:rsidRPr="00110AF4">
        <w:rPr>
          <w:rFonts w:hint="eastAsia"/>
          <w:rtl/>
        </w:rPr>
        <w:t>ونقص</w:t>
      </w:r>
      <w:r w:rsidRPr="00110AF4">
        <w:rPr>
          <w:rtl/>
        </w:rPr>
        <w:t xml:space="preserve"> </w:t>
      </w:r>
      <w:r w:rsidRPr="00110AF4">
        <w:rPr>
          <w:rFonts w:hint="eastAsia"/>
          <w:rtl/>
        </w:rPr>
        <w:t>الانتباه</w:t>
      </w:r>
      <w:r w:rsidRPr="00110AF4">
        <w:rPr>
          <w:rtl/>
        </w:rPr>
        <w:t xml:space="preserve"> </w:t>
      </w:r>
      <w:r w:rsidRPr="00110AF4">
        <w:rPr>
          <w:rFonts w:hint="eastAsia"/>
          <w:rtl/>
        </w:rPr>
        <w:t>هو</w:t>
      </w:r>
      <w:r w:rsidRPr="00110AF4">
        <w:rPr>
          <w:rtl/>
        </w:rPr>
        <w:t xml:space="preserve"> </w:t>
      </w:r>
      <w:r w:rsidRPr="00110AF4">
        <w:rPr>
          <w:rFonts w:hint="eastAsia"/>
          <w:rtl/>
        </w:rPr>
        <w:t>اضطراب</w:t>
      </w:r>
      <w:r w:rsidRPr="00110AF4">
        <w:rPr>
          <w:rtl/>
        </w:rPr>
        <w:t xml:space="preserve"> </w:t>
      </w:r>
      <w:r w:rsidRPr="00110AF4">
        <w:rPr>
          <w:rFonts w:hint="eastAsia"/>
          <w:rtl/>
        </w:rPr>
        <w:t>عصبي</w:t>
      </w:r>
      <w:r w:rsidRPr="00110AF4">
        <w:rPr>
          <w:rtl/>
        </w:rPr>
        <w:t xml:space="preserve"> </w:t>
      </w:r>
      <w:r w:rsidRPr="00110AF4">
        <w:rPr>
          <w:rFonts w:hint="eastAsia"/>
          <w:rtl/>
        </w:rPr>
        <w:t>نمائي</w:t>
      </w:r>
      <w:r w:rsidRPr="00110AF4">
        <w:rPr>
          <w:rtl/>
        </w:rPr>
        <w:t xml:space="preserve"> </w:t>
      </w:r>
      <w:r w:rsidRPr="00110AF4">
        <w:rPr>
          <w:rFonts w:hint="eastAsia"/>
          <w:rtl/>
        </w:rPr>
        <w:t>يتميز</w:t>
      </w:r>
      <w:r w:rsidRPr="00110AF4">
        <w:rPr>
          <w:rtl/>
        </w:rPr>
        <w:t xml:space="preserve"> </w:t>
      </w:r>
      <w:r w:rsidRPr="00110AF4">
        <w:rPr>
          <w:rFonts w:hint="eastAsia"/>
          <w:rtl/>
        </w:rPr>
        <w:t>بنقص</w:t>
      </w:r>
      <w:r w:rsidRPr="00110AF4">
        <w:rPr>
          <w:rtl/>
        </w:rPr>
        <w:t xml:space="preserve"> </w:t>
      </w:r>
      <w:r w:rsidRPr="00110AF4">
        <w:rPr>
          <w:rFonts w:hint="eastAsia"/>
          <w:rtl/>
        </w:rPr>
        <w:t>في</w:t>
      </w:r>
      <w:r w:rsidRPr="00110AF4">
        <w:rPr>
          <w:rtl/>
        </w:rPr>
        <w:t xml:space="preserve"> </w:t>
      </w:r>
      <w:r w:rsidRPr="00110AF4">
        <w:rPr>
          <w:rFonts w:hint="eastAsia"/>
          <w:rtl/>
        </w:rPr>
        <w:t>الانتباه</w:t>
      </w:r>
      <w:r w:rsidRPr="00110AF4">
        <w:rPr>
          <w:rtl/>
        </w:rPr>
        <w:t xml:space="preserve"> 1, </w:t>
      </w:r>
      <w:r w:rsidRPr="00110AF4">
        <w:rPr>
          <w:rFonts w:hint="eastAsia"/>
          <w:rtl/>
        </w:rPr>
        <w:t>اندفاعية</w:t>
      </w:r>
      <w:r w:rsidRPr="00110AF4">
        <w:rPr>
          <w:rtl/>
        </w:rPr>
        <w:t xml:space="preserve"> </w:t>
      </w:r>
      <w:r w:rsidRPr="00110AF4">
        <w:rPr>
          <w:rFonts w:hint="eastAsia"/>
          <w:rtl/>
        </w:rPr>
        <w:t>و</w:t>
      </w:r>
      <w:r w:rsidRPr="00110AF4">
        <w:rPr>
          <w:rtl/>
        </w:rPr>
        <w:t xml:space="preserve"> </w:t>
      </w:r>
      <w:r w:rsidRPr="00110AF4">
        <w:rPr>
          <w:rFonts w:hint="eastAsia"/>
          <w:rtl/>
        </w:rPr>
        <w:t>فرط</w:t>
      </w:r>
      <w:r w:rsidRPr="00110AF4">
        <w:rPr>
          <w:rtl/>
        </w:rPr>
        <w:t xml:space="preserve"> </w:t>
      </w:r>
      <w:r w:rsidRPr="00110AF4">
        <w:rPr>
          <w:rFonts w:hint="eastAsia"/>
          <w:rtl/>
        </w:rPr>
        <w:t>في</w:t>
      </w:r>
      <w:r w:rsidRPr="00110AF4">
        <w:rPr>
          <w:rtl/>
        </w:rPr>
        <w:t xml:space="preserve"> </w:t>
      </w:r>
      <w:r w:rsidRPr="00110AF4">
        <w:rPr>
          <w:rFonts w:hint="eastAsia"/>
          <w:rtl/>
        </w:rPr>
        <w:t>الحركة</w:t>
      </w:r>
      <w:r w:rsidRPr="00110AF4">
        <w:rPr>
          <w:rtl/>
        </w:rPr>
        <w:t xml:space="preserve">. </w:t>
      </w:r>
      <w:r w:rsidRPr="00110AF4">
        <w:rPr>
          <w:rFonts w:hint="eastAsia"/>
          <w:rtl/>
        </w:rPr>
        <w:t>ومن</w:t>
      </w:r>
      <w:r w:rsidRPr="00110AF4">
        <w:rPr>
          <w:rtl/>
        </w:rPr>
        <w:t xml:space="preserve"> </w:t>
      </w:r>
      <w:r w:rsidRPr="00110AF4">
        <w:rPr>
          <w:rFonts w:hint="eastAsia"/>
          <w:rtl/>
        </w:rPr>
        <w:t>الشائع</w:t>
      </w:r>
      <w:r w:rsidRPr="00110AF4">
        <w:rPr>
          <w:rtl/>
        </w:rPr>
        <w:t xml:space="preserve"> </w:t>
      </w:r>
      <w:r w:rsidRPr="00110AF4">
        <w:rPr>
          <w:rFonts w:hint="eastAsia"/>
          <w:rtl/>
        </w:rPr>
        <w:t>لدى</w:t>
      </w:r>
      <w:r w:rsidRPr="00110AF4">
        <w:rPr>
          <w:rtl/>
        </w:rPr>
        <w:t xml:space="preserve"> </w:t>
      </w:r>
      <w:r w:rsidRPr="00110AF4">
        <w:rPr>
          <w:rFonts w:hint="eastAsia"/>
          <w:rtl/>
        </w:rPr>
        <w:t>هؤلاء</w:t>
      </w:r>
      <w:r w:rsidRPr="00110AF4">
        <w:rPr>
          <w:rtl/>
        </w:rPr>
        <w:t xml:space="preserve"> </w:t>
      </w:r>
      <w:r w:rsidRPr="00110AF4">
        <w:rPr>
          <w:rFonts w:hint="eastAsia"/>
          <w:rtl/>
        </w:rPr>
        <w:t>الأطفال</w:t>
      </w:r>
      <w:r w:rsidRPr="00110AF4">
        <w:rPr>
          <w:rtl/>
        </w:rPr>
        <w:t xml:space="preserve"> </w:t>
      </w:r>
      <w:r w:rsidRPr="00110AF4">
        <w:rPr>
          <w:rFonts w:hint="eastAsia"/>
          <w:rtl/>
        </w:rPr>
        <w:t>وجود</w:t>
      </w:r>
      <w:r w:rsidRPr="00110AF4">
        <w:rPr>
          <w:rtl/>
        </w:rPr>
        <w:t xml:space="preserve"> </w:t>
      </w:r>
      <w:r w:rsidRPr="00110AF4">
        <w:rPr>
          <w:rFonts w:hint="eastAsia"/>
          <w:rtl/>
        </w:rPr>
        <w:t>اضطرابات</w:t>
      </w:r>
      <w:r w:rsidRPr="00110AF4">
        <w:rPr>
          <w:rtl/>
        </w:rPr>
        <w:t xml:space="preserve"> </w:t>
      </w:r>
      <w:r w:rsidRPr="00110AF4">
        <w:rPr>
          <w:rFonts w:hint="eastAsia"/>
          <w:rtl/>
        </w:rPr>
        <w:t>في</w:t>
      </w:r>
      <w:r w:rsidRPr="00110AF4">
        <w:rPr>
          <w:rtl/>
        </w:rPr>
        <w:t xml:space="preserve"> </w:t>
      </w:r>
      <w:r w:rsidRPr="00110AF4">
        <w:rPr>
          <w:rFonts w:hint="eastAsia"/>
          <w:rtl/>
        </w:rPr>
        <w:t>رسم</w:t>
      </w:r>
      <w:r w:rsidRPr="00110AF4">
        <w:rPr>
          <w:rtl/>
        </w:rPr>
        <w:t xml:space="preserve"> </w:t>
      </w:r>
      <w:r w:rsidRPr="00110AF4">
        <w:rPr>
          <w:rFonts w:hint="eastAsia"/>
          <w:rtl/>
        </w:rPr>
        <w:t>المخ</w:t>
      </w:r>
      <w:r w:rsidRPr="00110AF4">
        <w:rPr>
          <w:rtl/>
        </w:rPr>
        <w:t xml:space="preserve"> </w:t>
      </w:r>
      <w:r w:rsidRPr="00110AF4">
        <w:rPr>
          <w:rFonts w:hint="eastAsia"/>
          <w:rtl/>
        </w:rPr>
        <w:t>على</w:t>
      </w:r>
      <w:r w:rsidRPr="00110AF4">
        <w:rPr>
          <w:rtl/>
        </w:rPr>
        <w:t xml:space="preserve"> </w:t>
      </w:r>
      <w:r w:rsidRPr="00110AF4">
        <w:rPr>
          <w:rFonts w:hint="eastAsia"/>
          <w:rtl/>
        </w:rPr>
        <w:t>الرغم</w:t>
      </w:r>
      <w:r w:rsidRPr="00110AF4">
        <w:rPr>
          <w:rtl/>
        </w:rPr>
        <w:t xml:space="preserve"> </w:t>
      </w:r>
      <w:r w:rsidRPr="00110AF4">
        <w:rPr>
          <w:rFonts w:hint="eastAsia"/>
          <w:rtl/>
        </w:rPr>
        <w:t>من</w:t>
      </w:r>
      <w:r w:rsidRPr="00110AF4">
        <w:rPr>
          <w:rtl/>
        </w:rPr>
        <w:t xml:space="preserve"> </w:t>
      </w:r>
      <w:r w:rsidRPr="00110AF4">
        <w:rPr>
          <w:rFonts w:hint="eastAsia"/>
          <w:rtl/>
        </w:rPr>
        <w:t>عدم</w:t>
      </w:r>
      <w:r w:rsidRPr="00110AF4">
        <w:rPr>
          <w:rtl/>
        </w:rPr>
        <w:t xml:space="preserve"> </w:t>
      </w:r>
      <w:r w:rsidRPr="00110AF4">
        <w:rPr>
          <w:rFonts w:hint="eastAsia"/>
          <w:rtl/>
        </w:rPr>
        <w:t>وجود</w:t>
      </w:r>
      <w:r w:rsidRPr="00110AF4">
        <w:rPr>
          <w:rtl/>
        </w:rPr>
        <w:t xml:space="preserve"> </w:t>
      </w:r>
      <w:r w:rsidRPr="00110AF4">
        <w:rPr>
          <w:rFonts w:hint="eastAsia"/>
          <w:rtl/>
        </w:rPr>
        <w:t>أعراض</w:t>
      </w:r>
      <w:r w:rsidRPr="00110AF4">
        <w:rPr>
          <w:rtl/>
        </w:rPr>
        <w:t xml:space="preserve"> </w:t>
      </w:r>
      <w:r w:rsidRPr="00110AF4">
        <w:rPr>
          <w:rFonts w:hint="eastAsia"/>
          <w:rtl/>
        </w:rPr>
        <w:t>الصرع</w:t>
      </w:r>
      <w:r w:rsidRPr="00110AF4">
        <w:rPr>
          <w:rtl/>
        </w:rPr>
        <w:t xml:space="preserve"> </w:t>
      </w:r>
      <w:r w:rsidRPr="00110AF4">
        <w:rPr>
          <w:rFonts w:hint="eastAsia"/>
          <w:rtl/>
        </w:rPr>
        <w:t>أو</w:t>
      </w:r>
      <w:r w:rsidRPr="00110AF4">
        <w:rPr>
          <w:rtl/>
        </w:rPr>
        <w:t xml:space="preserve"> </w:t>
      </w:r>
      <w:r w:rsidRPr="00110AF4">
        <w:rPr>
          <w:rFonts w:hint="eastAsia"/>
          <w:rtl/>
        </w:rPr>
        <w:t>التشنجات</w:t>
      </w:r>
      <w:r w:rsidRPr="00110AF4">
        <w:rPr>
          <w:rtl/>
        </w:rPr>
        <w:t>.</w:t>
      </w:r>
    </w:p>
    <w:p w:rsidR="00A23182" w:rsidRPr="00110AF4" w:rsidRDefault="00A23182" w:rsidP="007C6924">
      <w:pPr>
        <w:autoSpaceDE w:val="0"/>
        <w:autoSpaceDN w:val="0"/>
        <w:bidi/>
        <w:adjustRightInd w:val="0"/>
        <w:spacing w:after="0" w:line="360" w:lineRule="auto"/>
        <w:ind w:firstLine="425"/>
        <w:jc w:val="both"/>
        <w:rPr>
          <w:rtl/>
        </w:rPr>
      </w:pPr>
      <w:r w:rsidRPr="00110AF4">
        <w:rPr>
          <w:rFonts w:hint="eastAsia"/>
          <w:rtl/>
        </w:rPr>
        <w:t>الغرض</w:t>
      </w:r>
      <w:r w:rsidRPr="00110AF4">
        <w:rPr>
          <w:rtl/>
        </w:rPr>
        <w:t xml:space="preserve"> </w:t>
      </w:r>
      <w:r w:rsidRPr="00110AF4">
        <w:rPr>
          <w:rFonts w:hint="eastAsia"/>
          <w:rtl/>
        </w:rPr>
        <w:t>من</w:t>
      </w:r>
      <w:r w:rsidRPr="00110AF4">
        <w:rPr>
          <w:rtl/>
        </w:rPr>
        <w:t xml:space="preserve"> </w:t>
      </w:r>
      <w:r w:rsidRPr="00110AF4">
        <w:rPr>
          <w:rFonts w:hint="eastAsia"/>
          <w:rtl/>
        </w:rPr>
        <w:t>البحث</w:t>
      </w:r>
      <w:r w:rsidRPr="00110AF4">
        <w:rPr>
          <w:rtl/>
        </w:rPr>
        <w:t>:</w:t>
      </w:r>
    </w:p>
    <w:p w:rsidR="00A23182" w:rsidRPr="00110AF4" w:rsidRDefault="00A23182" w:rsidP="007C6924">
      <w:pPr>
        <w:autoSpaceDE w:val="0"/>
        <w:autoSpaceDN w:val="0"/>
        <w:bidi/>
        <w:adjustRightInd w:val="0"/>
        <w:spacing w:after="0" w:line="360" w:lineRule="auto"/>
        <w:ind w:firstLine="425"/>
        <w:jc w:val="both"/>
        <w:rPr>
          <w:rtl/>
        </w:rPr>
      </w:pPr>
      <w:r w:rsidRPr="00110AF4">
        <w:rPr>
          <w:rFonts w:hint="eastAsia"/>
          <w:rtl/>
        </w:rPr>
        <w:t>قياس</w:t>
      </w:r>
      <w:r w:rsidRPr="00110AF4">
        <w:rPr>
          <w:rtl/>
        </w:rPr>
        <w:t xml:space="preserve"> </w:t>
      </w:r>
      <w:r w:rsidRPr="00110AF4">
        <w:rPr>
          <w:rFonts w:hint="eastAsia"/>
          <w:rtl/>
        </w:rPr>
        <w:t>فاعلية</w:t>
      </w:r>
      <w:r w:rsidRPr="00110AF4">
        <w:rPr>
          <w:rtl/>
        </w:rPr>
        <w:t xml:space="preserve"> </w:t>
      </w:r>
      <w:r w:rsidRPr="00110AF4">
        <w:rPr>
          <w:rFonts w:hint="eastAsia"/>
          <w:rtl/>
        </w:rPr>
        <w:t>عقار</w:t>
      </w:r>
      <w:r w:rsidRPr="00110AF4">
        <w:rPr>
          <w:rtl/>
        </w:rPr>
        <w:t xml:space="preserve"> </w:t>
      </w:r>
      <w:r w:rsidRPr="00110AF4">
        <w:rPr>
          <w:rFonts w:hint="eastAsia"/>
          <w:rtl/>
        </w:rPr>
        <w:t>الكاربامازيبين</w:t>
      </w:r>
      <w:r w:rsidRPr="00110AF4">
        <w:rPr>
          <w:rtl/>
        </w:rPr>
        <w:t xml:space="preserve"> </w:t>
      </w:r>
      <w:r w:rsidRPr="00110AF4">
        <w:rPr>
          <w:rFonts w:hint="eastAsia"/>
          <w:rtl/>
        </w:rPr>
        <w:t>في</w:t>
      </w:r>
      <w:r w:rsidRPr="00110AF4">
        <w:rPr>
          <w:rtl/>
        </w:rPr>
        <w:t xml:space="preserve"> </w:t>
      </w:r>
      <w:r w:rsidRPr="00110AF4">
        <w:rPr>
          <w:rFonts w:hint="eastAsia"/>
          <w:rtl/>
        </w:rPr>
        <w:t>علاج</w:t>
      </w:r>
      <w:r w:rsidRPr="00110AF4">
        <w:rPr>
          <w:rtl/>
        </w:rPr>
        <w:t xml:space="preserve"> </w:t>
      </w:r>
      <w:r w:rsidRPr="00110AF4">
        <w:rPr>
          <w:rFonts w:hint="eastAsia"/>
          <w:rtl/>
        </w:rPr>
        <w:t>الاطفال</w:t>
      </w:r>
      <w:r w:rsidRPr="00110AF4">
        <w:rPr>
          <w:rtl/>
        </w:rPr>
        <w:t xml:space="preserve"> </w:t>
      </w:r>
      <w:r w:rsidRPr="00110AF4">
        <w:rPr>
          <w:rFonts w:hint="eastAsia"/>
          <w:rtl/>
        </w:rPr>
        <w:t>المصابين</w:t>
      </w:r>
      <w:r w:rsidRPr="00110AF4">
        <w:rPr>
          <w:rtl/>
        </w:rPr>
        <w:t xml:space="preserve"> </w:t>
      </w:r>
      <w:r w:rsidRPr="00110AF4">
        <w:rPr>
          <w:rFonts w:hint="eastAsia"/>
          <w:rtl/>
        </w:rPr>
        <w:t>بفرط</w:t>
      </w:r>
      <w:r w:rsidRPr="00110AF4">
        <w:rPr>
          <w:rtl/>
        </w:rPr>
        <w:t xml:space="preserve"> </w:t>
      </w:r>
      <w:r w:rsidRPr="00110AF4">
        <w:rPr>
          <w:rFonts w:hint="eastAsia"/>
          <w:rtl/>
        </w:rPr>
        <w:t>الحركة</w:t>
      </w:r>
      <w:r w:rsidRPr="00110AF4">
        <w:rPr>
          <w:rtl/>
        </w:rPr>
        <w:t xml:space="preserve"> </w:t>
      </w:r>
      <w:r w:rsidRPr="00110AF4">
        <w:rPr>
          <w:rFonts w:hint="eastAsia"/>
          <w:rtl/>
        </w:rPr>
        <w:t>ونقص</w:t>
      </w:r>
      <w:r w:rsidRPr="00110AF4">
        <w:rPr>
          <w:rtl/>
        </w:rPr>
        <w:t xml:space="preserve"> </w:t>
      </w:r>
      <w:r w:rsidRPr="00110AF4">
        <w:rPr>
          <w:rFonts w:hint="eastAsia"/>
          <w:rtl/>
        </w:rPr>
        <w:t>الانتباه</w:t>
      </w:r>
      <w:r w:rsidRPr="00110AF4">
        <w:rPr>
          <w:rtl/>
        </w:rPr>
        <w:t xml:space="preserve"> </w:t>
      </w:r>
      <w:r w:rsidRPr="00110AF4">
        <w:rPr>
          <w:rFonts w:hint="eastAsia"/>
          <w:rtl/>
        </w:rPr>
        <w:t>المصحوب</w:t>
      </w:r>
      <w:r w:rsidRPr="00110AF4">
        <w:rPr>
          <w:rtl/>
        </w:rPr>
        <w:t xml:space="preserve"> </w:t>
      </w:r>
      <w:r w:rsidRPr="00110AF4">
        <w:rPr>
          <w:rFonts w:hint="eastAsia"/>
          <w:rtl/>
        </w:rPr>
        <w:t>باضطرابات</w:t>
      </w:r>
      <w:r w:rsidRPr="00110AF4">
        <w:rPr>
          <w:rtl/>
        </w:rPr>
        <w:t xml:space="preserve"> </w:t>
      </w:r>
      <w:r w:rsidRPr="00110AF4">
        <w:rPr>
          <w:rFonts w:hint="eastAsia"/>
          <w:rtl/>
        </w:rPr>
        <w:t>في</w:t>
      </w:r>
      <w:r w:rsidRPr="00110AF4">
        <w:rPr>
          <w:rtl/>
        </w:rPr>
        <w:t xml:space="preserve"> </w:t>
      </w:r>
      <w:r w:rsidRPr="00110AF4">
        <w:rPr>
          <w:rFonts w:hint="eastAsia"/>
          <w:rtl/>
        </w:rPr>
        <w:t>رسم</w:t>
      </w:r>
      <w:r w:rsidRPr="00110AF4">
        <w:rPr>
          <w:rtl/>
        </w:rPr>
        <w:t xml:space="preserve"> </w:t>
      </w:r>
      <w:r w:rsidRPr="00110AF4">
        <w:rPr>
          <w:rFonts w:hint="eastAsia"/>
          <w:rtl/>
        </w:rPr>
        <w:t>المخ</w:t>
      </w:r>
    </w:p>
    <w:p w:rsidR="00A23182" w:rsidRPr="00110AF4" w:rsidRDefault="00A23182" w:rsidP="007C6924">
      <w:pPr>
        <w:autoSpaceDE w:val="0"/>
        <w:autoSpaceDN w:val="0"/>
        <w:bidi/>
        <w:adjustRightInd w:val="0"/>
        <w:spacing w:after="0" w:line="360" w:lineRule="auto"/>
        <w:ind w:firstLine="425"/>
        <w:jc w:val="both"/>
        <w:rPr>
          <w:rtl/>
        </w:rPr>
      </w:pPr>
      <w:r w:rsidRPr="00110AF4">
        <w:rPr>
          <w:rFonts w:hint="eastAsia"/>
          <w:rtl/>
        </w:rPr>
        <w:t>خطوات</w:t>
      </w:r>
      <w:r w:rsidRPr="00110AF4">
        <w:rPr>
          <w:rtl/>
        </w:rPr>
        <w:t xml:space="preserve"> </w:t>
      </w:r>
      <w:r w:rsidRPr="00110AF4">
        <w:rPr>
          <w:rFonts w:hint="eastAsia"/>
          <w:rtl/>
        </w:rPr>
        <w:t>البحث</w:t>
      </w:r>
      <w:r w:rsidRPr="00110AF4">
        <w:rPr>
          <w:rtl/>
        </w:rPr>
        <w:t>:</w:t>
      </w:r>
    </w:p>
    <w:p w:rsidR="00A23182" w:rsidRPr="00110AF4" w:rsidRDefault="00A23182" w:rsidP="007C6924">
      <w:pPr>
        <w:autoSpaceDE w:val="0"/>
        <w:autoSpaceDN w:val="0"/>
        <w:bidi/>
        <w:adjustRightInd w:val="0"/>
        <w:spacing w:after="0" w:line="360" w:lineRule="auto"/>
        <w:ind w:firstLine="425"/>
        <w:jc w:val="both"/>
        <w:rPr>
          <w:rtl/>
        </w:rPr>
      </w:pPr>
      <w:r w:rsidRPr="00110AF4">
        <w:rPr>
          <w:rFonts w:hint="eastAsia"/>
          <w:rtl/>
        </w:rPr>
        <w:t>اجريت</w:t>
      </w:r>
      <w:r w:rsidRPr="00110AF4">
        <w:rPr>
          <w:rtl/>
        </w:rPr>
        <w:t xml:space="preserve"> </w:t>
      </w:r>
      <w:r w:rsidRPr="00110AF4">
        <w:rPr>
          <w:rFonts w:hint="eastAsia"/>
          <w:rtl/>
        </w:rPr>
        <w:t>هذه</w:t>
      </w:r>
      <w:r w:rsidRPr="00110AF4">
        <w:rPr>
          <w:rtl/>
        </w:rPr>
        <w:t xml:space="preserve"> </w:t>
      </w:r>
      <w:r w:rsidRPr="00110AF4">
        <w:rPr>
          <w:rFonts w:hint="eastAsia"/>
          <w:rtl/>
        </w:rPr>
        <w:t>الدراسة</w:t>
      </w:r>
      <w:r w:rsidRPr="00110AF4">
        <w:rPr>
          <w:rtl/>
        </w:rPr>
        <w:t xml:space="preserve"> </w:t>
      </w:r>
      <w:r w:rsidRPr="00110AF4">
        <w:rPr>
          <w:rFonts w:hint="eastAsia"/>
          <w:rtl/>
        </w:rPr>
        <w:t>على</w:t>
      </w:r>
      <w:r w:rsidRPr="00110AF4">
        <w:rPr>
          <w:rtl/>
        </w:rPr>
        <w:t xml:space="preserve"> 15 </w:t>
      </w:r>
      <w:r w:rsidRPr="00110AF4">
        <w:rPr>
          <w:rFonts w:hint="eastAsia"/>
          <w:rtl/>
        </w:rPr>
        <w:t>طفلا</w:t>
      </w:r>
      <w:r w:rsidRPr="00110AF4">
        <w:rPr>
          <w:rtl/>
        </w:rPr>
        <w:t xml:space="preserve"> </w:t>
      </w:r>
      <w:r w:rsidRPr="00110AF4">
        <w:rPr>
          <w:rFonts w:hint="eastAsia"/>
          <w:rtl/>
        </w:rPr>
        <w:t>مصابا</w:t>
      </w:r>
      <w:r w:rsidRPr="00110AF4">
        <w:rPr>
          <w:rtl/>
        </w:rPr>
        <w:t xml:space="preserve"> </w:t>
      </w:r>
      <w:r w:rsidRPr="00110AF4">
        <w:rPr>
          <w:rFonts w:hint="eastAsia"/>
          <w:rtl/>
        </w:rPr>
        <w:t>باضطراب</w:t>
      </w:r>
      <w:r w:rsidRPr="00110AF4">
        <w:rPr>
          <w:rtl/>
        </w:rPr>
        <w:t xml:space="preserve"> </w:t>
      </w:r>
      <w:r w:rsidRPr="00110AF4">
        <w:rPr>
          <w:rFonts w:hint="eastAsia"/>
          <w:rtl/>
        </w:rPr>
        <w:t>فرط</w:t>
      </w:r>
      <w:r w:rsidRPr="00110AF4">
        <w:rPr>
          <w:rtl/>
        </w:rPr>
        <w:t xml:space="preserve"> </w:t>
      </w:r>
      <w:r w:rsidRPr="00110AF4">
        <w:rPr>
          <w:rFonts w:hint="eastAsia"/>
          <w:rtl/>
        </w:rPr>
        <w:t>الحركة</w:t>
      </w:r>
      <w:r w:rsidRPr="00110AF4">
        <w:rPr>
          <w:rtl/>
        </w:rPr>
        <w:t xml:space="preserve"> </w:t>
      </w:r>
      <w:r w:rsidRPr="00110AF4">
        <w:rPr>
          <w:rFonts w:hint="eastAsia"/>
          <w:rtl/>
        </w:rPr>
        <w:t>ونقص</w:t>
      </w:r>
      <w:r w:rsidRPr="00110AF4">
        <w:rPr>
          <w:rtl/>
        </w:rPr>
        <w:t xml:space="preserve"> </w:t>
      </w:r>
      <w:r w:rsidRPr="00110AF4">
        <w:rPr>
          <w:rFonts w:hint="eastAsia"/>
          <w:rtl/>
        </w:rPr>
        <w:t>الانتباه</w:t>
      </w:r>
      <w:r w:rsidRPr="00110AF4">
        <w:rPr>
          <w:rtl/>
        </w:rPr>
        <w:t xml:space="preserve"> </w:t>
      </w:r>
      <w:r w:rsidRPr="00110AF4">
        <w:rPr>
          <w:rFonts w:hint="eastAsia"/>
          <w:rtl/>
        </w:rPr>
        <w:t>المصحوب</w:t>
      </w:r>
      <w:r w:rsidRPr="00110AF4">
        <w:rPr>
          <w:rtl/>
        </w:rPr>
        <w:t xml:space="preserve"> </w:t>
      </w:r>
      <w:r w:rsidRPr="00110AF4">
        <w:rPr>
          <w:rFonts w:hint="eastAsia"/>
          <w:rtl/>
        </w:rPr>
        <w:t>باضطرابات</w:t>
      </w:r>
      <w:r w:rsidRPr="00110AF4">
        <w:rPr>
          <w:rtl/>
        </w:rPr>
        <w:t xml:space="preserve"> </w:t>
      </w:r>
      <w:r w:rsidRPr="00110AF4">
        <w:rPr>
          <w:rFonts w:hint="eastAsia"/>
          <w:rtl/>
        </w:rPr>
        <w:t>في</w:t>
      </w:r>
      <w:r w:rsidRPr="00110AF4">
        <w:rPr>
          <w:rtl/>
        </w:rPr>
        <w:t xml:space="preserve"> </w:t>
      </w:r>
      <w:r w:rsidRPr="00110AF4">
        <w:rPr>
          <w:rFonts w:hint="eastAsia"/>
          <w:rtl/>
        </w:rPr>
        <w:t>رسم</w:t>
      </w:r>
      <w:r w:rsidRPr="00110AF4">
        <w:rPr>
          <w:rtl/>
        </w:rPr>
        <w:t xml:space="preserve"> </w:t>
      </w:r>
      <w:r w:rsidRPr="00110AF4">
        <w:rPr>
          <w:rFonts w:hint="eastAsia"/>
          <w:rtl/>
        </w:rPr>
        <w:t>المخ</w:t>
      </w:r>
      <w:r w:rsidRPr="00110AF4">
        <w:rPr>
          <w:rtl/>
        </w:rPr>
        <w:t xml:space="preserve">- </w:t>
      </w:r>
      <w:r w:rsidRPr="00110AF4">
        <w:rPr>
          <w:rFonts w:hint="eastAsia"/>
          <w:rtl/>
        </w:rPr>
        <w:t>لم</w:t>
      </w:r>
      <w:r w:rsidRPr="00110AF4">
        <w:rPr>
          <w:rtl/>
        </w:rPr>
        <w:t xml:space="preserve"> </w:t>
      </w:r>
      <w:r w:rsidRPr="00110AF4">
        <w:rPr>
          <w:rFonts w:hint="eastAsia"/>
          <w:rtl/>
        </w:rPr>
        <w:t>يتلقوا</w:t>
      </w:r>
      <w:r w:rsidRPr="00110AF4">
        <w:rPr>
          <w:rtl/>
        </w:rPr>
        <w:t xml:space="preserve"> </w:t>
      </w:r>
      <w:r w:rsidRPr="00110AF4">
        <w:rPr>
          <w:rFonts w:hint="eastAsia"/>
          <w:rtl/>
        </w:rPr>
        <w:t>علاجا</w:t>
      </w:r>
      <w:r w:rsidRPr="00110AF4">
        <w:rPr>
          <w:rtl/>
        </w:rPr>
        <w:t xml:space="preserve"> </w:t>
      </w:r>
      <w:r w:rsidRPr="00110AF4">
        <w:rPr>
          <w:rFonts w:hint="eastAsia"/>
          <w:rtl/>
        </w:rPr>
        <w:t>لهذا</w:t>
      </w:r>
      <w:r w:rsidRPr="00110AF4">
        <w:rPr>
          <w:rtl/>
        </w:rPr>
        <w:t xml:space="preserve"> </w:t>
      </w:r>
      <w:r w:rsidRPr="00110AF4">
        <w:rPr>
          <w:rFonts w:hint="eastAsia"/>
          <w:rtl/>
        </w:rPr>
        <w:t>الاضطراب</w:t>
      </w:r>
      <w:r w:rsidRPr="00110AF4">
        <w:rPr>
          <w:rtl/>
        </w:rPr>
        <w:t xml:space="preserve"> </w:t>
      </w:r>
      <w:r w:rsidRPr="00110AF4">
        <w:rPr>
          <w:rFonts w:hint="eastAsia"/>
          <w:rtl/>
        </w:rPr>
        <w:t>من</w:t>
      </w:r>
      <w:r w:rsidRPr="00110AF4">
        <w:rPr>
          <w:rtl/>
        </w:rPr>
        <w:t xml:space="preserve"> </w:t>
      </w:r>
      <w:r w:rsidRPr="00110AF4">
        <w:rPr>
          <w:rFonts w:hint="eastAsia"/>
          <w:rtl/>
        </w:rPr>
        <w:t>قبل</w:t>
      </w:r>
      <w:r w:rsidRPr="00110AF4">
        <w:rPr>
          <w:rtl/>
        </w:rPr>
        <w:t xml:space="preserve"> </w:t>
      </w:r>
      <w:r w:rsidRPr="00110AF4">
        <w:rPr>
          <w:rFonts w:hint="eastAsia"/>
          <w:rtl/>
        </w:rPr>
        <w:t>ولا</w:t>
      </w:r>
      <w:r w:rsidRPr="00110AF4">
        <w:rPr>
          <w:rtl/>
        </w:rPr>
        <w:t xml:space="preserve"> </w:t>
      </w:r>
      <w:r w:rsidRPr="00110AF4">
        <w:rPr>
          <w:rFonts w:hint="eastAsia"/>
          <w:rtl/>
        </w:rPr>
        <w:t>يعانون</w:t>
      </w:r>
      <w:r w:rsidRPr="00110AF4">
        <w:rPr>
          <w:rtl/>
        </w:rPr>
        <w:t xml:space="preserve"> </w:t>
      </w:r>
      <w:r w:rsidRPr="00110AF4">
        <w:rPr>
          <w:rFonts w:hint="eastAsia"/>
          <w:rtl/>
        </w:rPr>
        <w:t>من</w:t>
      </w:r>
      <w:r w:rsidRPr="00110AF4">
        <w:rPr>
          <w:rtl/>
        </w:rPr>
        <w:t xml:space="preserve"> </w:t>
      </w:r>
      <w:r w:rsidRPr="00110AF4">
        <w:rPr>
          <w:rFonts w:hint="eastAsia"/>
          <w:rtl/>
        </w:rPr>
        <w:t>الصرع</w:t>
      </w:r>
      <w:r w:rsidRPr="00110AF4">
        <w:rPr>
          <w:rtl/>
        </w:rPr>
        <w:t xml:space="preserve"> </w:t>
      </w:r>
      <w:r w:rsidRPr="00110AF4">
        <w:rPr>
          <w:rFonts w:hint="eastAsia"/>
          <w:rtl/>
        </w:rPr>
        <w:t>أو</w:t>
      </w:r>
      <w:r w:rsidRPr="00110AF4">
        <w:rPr>
          <w:rtl/>
        </w:rPr>
        <w:t xml:space="preserve"> </w:t>
      </w:r>
      <w:r w:rsidRPr="00110AF4">
        <w:rPr>
          <w:rFonts w:hint="eastAsia"/>
          <w:rtl/>
        </w:rPr>
        <w:t>أي</w:t>
      </w:r>
      <w:r w:rsidRPr="00110AF4">
        <w:rPr>
          <w:rtl/>
        </w:rPr>
        <w:t xml:space="preserve"> </w:t>
      </w:r>
      <w:r w:rsidRPr="00110AF4">
        <w:rPr>
          <w:rFonts w:hint="eastAsia"/>
          <w:rtl/>
        </w:rPr>
        <w:t>أمراض</w:t>
      </w:r>
      <w:r w:rsidRPr="00110AF4">
        <w:rPr>
          <w:rtl/>
        </w:rPr>
        <w:t xml:space="preserve"> </w:t>
      </w:r>
      <w:r w:rsidRPr="00110AF4">
        <w:rPr>
          <w:rFonts w:hint="eastAsia"/>
          <w:rtl/>
        </w:rPr>
        <w:t>عضوية</w:t>
      </w:r>
      <w:r w:rsidRPr="00110AF4">
        <w:rPr>
          <w:rtl/>
        </w:rPr>
        <w:t xml:space="preserve"> </w:t>
      </w:r>
      <w:r w:rsidRPr="00110AF4">
        <w:rPr>
          <w:rFonts w:hint="eastAsia"/>
          <w:rtl/>
        </w:rPr>
        <w:t>أو</w:t>
      </w:r>
      <w:r w:rsidRPr="00110AF4">
        <w:rPr>
          <w:rtl/>
        </w:rPr>
        <w:t xml:space="preserve"> </w:t>
      </w:r>
      <w:r w:rsidRPr="00110AF4">
        <w:rPr>
          <w:rFonts w:hint="eastAsia"/>
          <w:rtl/>
        </w:rPr>
        <w:t>نفسية</w:t>
      </w:r>
      <w:r w:rsidRPr="00110AF4">
        <w:rPr>
          <w:rtl/>
        </w:rPr>
        <w:t xml:space="preserve"> </w:t>
      </w:r>
      <w:r w:rsidRPr="00110AF4">
        <w:rPr>
          <w:rFonts w:hint="eastAsia"/>
          <w:rtl/>
        </w:rPr>
        <w:t>أخرى</w:t>
      </w:r>
      <w:r w:rsidRPr="00110AF4">
        <w:rPr>
          <w:rtl/>
        </w:rPr>
        <w:t xml:space="preserve">. </w:t>
      </w:r>
      <w:r w:rsidRPr="00110AF4">
        <w:rPr>
          <w:rFonts w:hint="eastAsia"/>
          <w:rtl/>
        </w:rPr>
        <w:t>تراوحت</w:t>
      </w:r>
      <w:r w:rsidRPr="00110AF4">
        <w:rPr>
          <w:rtl/>
        </w:rPr>
        <w:t xml:space="preserve"> </w:t>
      </w:r>
      <w:r w:rsidRPr="00110AF4">
        <w:rPr>
          <w:rFonts w:hint="eastAsia"/>
          <w:rtl/>
        </w:rPr>
        <w:t>أعمارهم</w:t>
      </w:r>
      <w:r w:rsidRPr="00110AF4">
        <w:rPr>
          <w:rtl/>
        </w:rPr>
        <w:t xml:space="preserve"> </w:t>
      </w:r>
      <w:r w:rsidRPr="00110AF4">
        <w:rPr>
          <w:rFonts w:hint="eastAsia"/>
          <w:rtl/>
        </w:rPr>
        <w:t>بين</w:t>
      </w:r>
      <w:r w:rsidRPr="00110AF4">
        <w:rPr>
          <w:rtl/>
        </w:rPr>
        <w:t xml:space="preserve"> 4 </w:t>
      </w:r>
      <w:r w:rsidRPr="00110AF4">
        <w:rPr>
          <w:rFonts w:hint="eastAsia"/>
          <w:rtl/>
        </w:rPr>
        <w:t>الى</w:t>
      </w:r>
      <w:r w:rsidRPr="00110AF4">
        <w:rPr>
          <w:rtl/>
        </w:rPr>
        <w:t xml:space="preserve"> 15 </w:t>
      </w:r>
      <w:r w:rsidRPr="00110AF4">
        <w:rPr>
          <w:rFonts w:hint="eastAsia"/>
          <w:rtl/>
        </w:rPr>
        <w:t>عاما،</w:t>
      </w:r>
      <w:r w:rsidRPr="00110AF4">
        <w:rPr>
          <w:rtl/>
        </w:rPr>
        <w:t xml:space="preserve"> 13 </w:t>
      </w:r>
      <w:r w:rsidRPr="00110AF4">
        <w:rPr>
          <w:rFonts w:hint="eastAsia"/>
          <w:rtl/>
        </w:rPr>
        <w:t>من</w:t>
      </w:r>
      <w:r w:rsidRPr="00110AF4">
        <w:rPr>
          <w:rtl/>
        </w:rPr>
        <w:t xml:space="preserve"> </w:t>
      </w:r>
      <w:r w:rsidRPr="00110AF4">
        <w:rPr>
          <w:rFonts w:hint="eastAsia"/>
          <w:rtl/>
        </w:rPr>
        <w:t>الذكور</w:t>
      </w:r>
      <w:r w:rsidRPr="00110AF4">
        <w:rPr>
          <w:rtl/>
        </w:rPr>
        <w:t xml:space="preserve"> </w:t>
      </w:r>
      <w:r w:rsidRPr="00110AF4">
        <w:rPr>
          <w:rFonts w:hint="eastAsia"/>
          <w:rtl/>
        </w:rPr>
        <w:t>و</w:t>
      </w:r>
      <w:r w:rsidRPr="00110AF4">
        <w:rPr>
          <w:rtl/>
        </w:rPr>
        <w:t xml:space="preserve">2 </w:t>
      </w:r>
      <w:r w:rsidRPr="00110AF4">
        <w:rPr>
          <w:rFonts w:hint="eastAsia"/>
          <w:rtl/>
        </w:rPr>
        <w:t>من</w:t>
      </w:r>
      <w:r w:rsidRPr="00110AF4">
        <w:rPr>
          <w:rtl/>
        </w:rPr>
        <w:t xml:space="preserve"> </w:t>
      </w:r>
      <w:r w:rsidRPr="00110AF4">
        <w:rPr>
          <w:rFonts w:hint="eastAsia"/>
          <w:rtl/>
        </w:rPr>
        <w:t>الاناث</w:t>
      </w:r>
      <w:r w:rsidRPr="00110AF4">
        <w:rPr>
          <w:rtl/>
        </w:rPr>
        <w:t xml:space="preserve">. </w:t>
      </w:r>
      <w:r w:rsidRPr="00110AF4">
        <w:rPr>
          <w:rFonts w:hint="eastAsia"/>
          <w:rtl/>
        </w:rPr>
        <w:t>خضع</w:t>
      </w:r>
      <w:r w:rsidRPr="00110AF4">
        <w:rPr>
          <w:rtl/>
        </w:rPr>
        <w:t xml:space="preserve"> </w:t>
      </w:r>
      <w:r w:rsidRPr="00110AF4">
        <w:rPr>
          <w:rFonts w:hint="eastAsia"/>
          <w:rtl/>
        </w:rPr>
        <w:t>جميع</w:t>
      </w:r>
      <w:r w:rsidRPr="00110AF4">
        <w:rPr>
          <w:rtl/>
        </w:rPr>
        <w:t xml:space="preserve"> </w:t>
      </w:r>
      <w:r w:rsidRPr="00110AF4">
        <w:rPr>
          <w:rFonts w:hint="eastAsia"/>
          <w:rtl/>
        </w:rPr>
        <w:t>الاطفال</w:t>
      </w:r>
      <w:r w:rsidRPr="00110AF4">
        <w:rPr>
          <w:rtl/>
        </w:rPr>
        <w:t xml:space="preserve"> </w:t>
      </w:r>
      <w:r w:rsidRPr="00110AF4">
        <w:rPr>
          <w:rFonts w:hint="eastAsia"/>
          <w:rtl/>
        </w:rPr>
        <w:t>المشاركين</w:t>
      </w:r>
      <w:r w:rsidRPr="00110AF4">
        <w:rPr>
          <w:rtl/>
        </w:rPr>
        <w:t xml:space="preserve"> </w:t>
      </w:r>
      <w:r w:rsidRPr="00110AF4">
        <w:rPr>
          <w:rFonts w:hint="eastAsia"/>
          <w:rtl/>
        </w:rPr>
        <w:t>في</w:t>
      </w:r>
      <w:r w:rsidRPr="00110AF4">
        <w:rPr>
          <w:rtl/>
        </w:rPr>
        <w:t xml:space="preserve"> </w:t>
      </w:r>
      <w:r w:rsidRPr="00110AF4">
        <w:rPr>
          <w:rFonts w:hint="eastAsia"/>
          <w:rtl/>
        </w:rPr>
        <w:t>البحث</w:t>
      </w:r>
      <w:r w:rsidRPr="00110AF4">
        <w:rPr>
          <w:rtl/>
        </w:rPr>
        <w:t xml:space="preserve"> </w:t>
      </w:r>
      <w:r w:rsidRPr="00110AF4">
        <w:rPr>
          <w:rFonts w:hint="eastAsia"/>
          <w:rtl/>
        </w:rPr>
        <w:t>لاختبار</w:t>
      </w:r>
      <w:r w:rsidRPr="00110AF4">
        <w:rPr>
          <w:rtl/>
        </w:rPr>
        <w:t xml:space="preserve"> </w:t>
      </w:r>
      <w:r w:rsidRPr="00110AF4">
        <w:rPr>
          <w:rFonts w:hint="eastAsia"/>
          <w:rtl/>
        </w:rPr>
        <w:t>الذكاء</w:t>
      </w:r>
      <w:r w:rsidRPr="00110AF4">
        <w:rPr>
          <w:rtl/>
        </w:rPr>
        <w:t xml:space="preserve"> </w:t>
      </w:r>
      <w:r w:rsidRPr="00110AF4">
        <w:rPr>
          <w:rFonts w:hint="eastAsia"/>
          <w:rtl/>
        </w:rPr>
        <w:t>باستخدام</w:t>
      </w:r>
      <w:r w:rsidRPr="00110AF4">
        <w:rPr>
          <w:rtl/>
        </w:rPr>
        <w:t xml:space="preserve"> </w:t>
      </w:r>
      <w:r w:rsidRPr="00110AF4">
        <w:rPr>
          <w:rFonts w:hint="eastAsia"/>
          <w:rtl/>
        </w:rPr>
        <w:t>مقياس</w:t>
      </w:r>
      <w:r w:rsidRPr="00110AF4">
        <w:rPr>
          <w:rtl/>
        </w:rPr>
        <w:t xml:space="preserve"> </w:t>
      </w:r>
      <w:r w:rsidRPr="00110AF4">
        <w:rPr>
          <w:rFonts w:hint="eastAsia"/>
          <w:rtl/>
        </w:rPr>
        <w:t>بينيه</w:t>
      </w:r>
      <w:r w:rsidRPr="00110AF4">
        <w:rPr>
          <w:rtl/>
        </w:rPr>
        <w:t xml:space="preserve"> </w:t>
      </w:r>
      <w:r w:rsidRPr="00110AF4">
        <w:rPr>
          <w:rFonts w:hint="eastAsia"/>
          <w:rtl/>
        </w:rPr>
        <w:t>الصورة</w:t>
      </w:r>
      <w:r w:rsidRPr="00110AF4">
        <w:rPr>
          <w:rtl/>
        </w:rPr>
        <w:t xml:space="preserve"> </w:t>
      </w:r>
      <w:r w:rsidRPr="00110AF4">
        <w:rPr>
          <w:rFonts w:hint="eastAsia"/>
          <w:rtl/>
        </w:rPr>
        <w:t>الخامسة</w:t>
      </w:r>
      <w:r w:rsidRPr="00110AF4">
        <w:rPr>
          <w:rtl/>
        </w:rPr>
        <w:t xml:space="preserve"> </w:t>
      </w:r>
      <w:r w:rsidRPr="00110AF4">
        <w:rPr>
          <w:rFonts w:hint="eastAsia"/>
          <w:rtl/>
        </w:rPr>
        <w:t>وقياس</w:t>
      </w:r>
      <w:r w:rsidRPr="00110AF4">
        <w:rPr>
          <w:rtl/>
        </w:rPr>
        <w:t xml:space="preserve"> </w:t>
      </w:r>
      <w:r w:rsidRPr="00110AF4">
        <w:rPr>
          <w:rFonts w:hint="eastAsia"/>
          <w:rtl/>
        </w:rPr>
        <w:t>أعراض</w:t>
      </w:r>
      <w:r w:rsidRPr="00110AF4">
        <w:rPr>
          <w:rtl/>
        </w:rPr>
        <w:t xml:space="preserve"> </w:t>
      </w:r>
      <w:r w:rsidRPr="00110AF4">
        <w:rPr>
          <w:rFonts w:hint="eastAsia"/>
          <w:rtl/>
        </w:rPr>
        <w:t>اضطراب</w:t>
      </w:r>
      <w:r w:rsidRPr="00110AF4">
        <w:rPr>
          <w:rtl/>
        </w:rPr>
        <w:t xml:space="preserve"> </w:t>
      </w:r>
      <w:r w:rsidRPr="00110AF4">
        <w:rPr>
          <w:rFonts w:hint="eastAsia"/>
          <w:rtl/>
        </w:rPr>
        <w:t>فرط</w:t>
      </w:r>
      <w:r w:rsidRPr="00110AF4">
        <w:rPr>
          <w:rtl/>
        </w:rPr>
        <w:t xml:space="preserve"> </w:t>
      </w:r>
      <w:r w:rsidRPr="00110AF4">
        <w:rPr>
          <w:rFonts w:hint="eastAsia"/>
          <w:rtl/>
        </w:rPr>
        <w:t>الحركة</w:t>
      </w:r>
      <w:r w:rsidRPr="00110AF4">
        <w:rPr>
          <w:rtl/>
        </w:rPr>
        <w:t xml:space="preserve"> </w:t>
      </w:r>
      <w:r w:rsidRPr="00110AF4">
        <w:rPr>
          <w:rFonts w:hint="eastAsia"/>
          <w:rtl/>
        </w:rPr>
        <w:t>وتشتت</w:t>
      </w:r>
      <w:r w:rsidRPr="00110AF4">
        <w:rPr>
          <w:rtl/>
        </w:rPr>
        <w:t xml:space="preserve"> </w:t>
      </w:r>
      <w:r w:rsidRPr="00110AF4">
        <w:rPr>
          <w:rFonts w:hint="eastAsia"/>
          <w:rtl/>
        </w:rPr>
        <w:t>الانتباه</w:t>
      </w:r>
      <w:r w:rsidRPr="00110AF4">
        <w:rPr>
          <w:rtl/>
        </w:rPr>
        <w:t xml:space="preserve"> </w:t>
      </w:r>
      <w:r w:rsidRPr="00110AF4">
        <w:rPr>
          <w:rFonts w:hint="eastAsia"/>
          <w:rtl/>
        </w:rPr>
        <w:t>باستخدام</w:t>
      </w:r>
      <w:r w:rsidRPr="00110AF4">
        <w:rPr>
          <w:rtl/>
        </w:rPr>
        <w:t xml:space="preserve"> </w:t>
      </w:r>
      <w:r w:rsidRPr="00110AF4">
        <w:rPr>
          <w:rFonts w:hint="eastAsia"/>
          <w:rtl/>
        </w:rPr>
        <w:t>مقياس</w:t>
      </w:r>
      <w:r w:rsidRPr="00110AF4">
        <w:rPr>
          <w:rtl/>
        </w:rPr>
        <w:t xml:space="preserve"> </w:t>
      </w:r>
      <w:r w:rsidRPr="00110AF4">
        <w:rPr>
          <w:rFonts w:hint="eastAsia"/>
          <w:rtl/>
        </w:rPr>
        <w:t>فرط</w:t>
      </w:r>
      <w:r w:rsidRPr="00110AF4">
        <w:rPr>
          <w:rtl/>
        </w:rPr>
        <w:t xml:space="preserve"> </w:t>
      </w:r>
      <w:r w:rsidRPr="00110AF4">
        <w:rPr>
          <w:rFonts w:hint="eastAsia"/>
          <w:rtl/>
        </w:rPr>
        <w:t>الحركة</w:t>
      </w:r>
      <w:r w:rsidRPr="00110AF4">
        <w:rPr>
          <w:rtl/>
        </w:rPr>
        <w:t xml:space="preserve"> </w:t>
      </w:r>
      <w:r w:rsidRPr="00110AF4">
        <w:rPr>
          <w:rFonts w:hint="eastAsia"/>
          <w:rtl/>
        </w:rPr>
        <w:t>ونقص</w:t>
      </w:r>
      <w:r w:rsidRPr="00110AF4">
        <w:rPr>
          <w:rtl/>
        </w:rPr>
        <w:t xml:space="preserve"> </w:t>
      </w:r>
      <w:r w:rsidRPr="00110AF4">
        <w:rPr>
          <w:rFonts w:hint="eastAsia"/>
          <w:rtl/>
        </w:rPr>
        <w:t>الانتباه</w:t>
      </w:r>
      <w:r w:rsidRPr="00110AF4">
        <w:rPr>
          <w:rtl/>
        </w:rPr>
        <w:t xml:space="preserve"> </w:t>
      </w:r>
      <w:r w:rsidRPr="00110AF4">
        <w:rPr>
          <w:rFonts w:hint="eastAsia"/>
          <w:rtl/>
        </w:rPr>
        <w:t>كما</w:t>
      </w:r>
      <w:r w:rsidRPr="00110AF4">
        <w:rPr>
          <w:rtl/>
        </w:rPr>
        <w:t xml:space="preserve"> </w:t>
      </w:r>
      <w:r w:rsidRPr="00110AF4">
        <w:rPr>
          <w:rFonts w:hint="eastAsia"/>
          <w:rtl/>
        </w:rPr>
        <w:t>تم</w:t>
      </w:r>
      <w:r w:rsidRPr="00110AF4">
        <w:rPr>
          <w:rtl/>
        </w:rPr>
        <w:t xml:space="preserve"> </w:t>
      </w:r>
      <w:r w:rsidRPr="00110AF4">
        <w:rPr>
          <w:rFonts w:hint="eastAsia"/>
          <w:rtl/>
        </w:rPr>
        <w:t>قياس</w:t>
      </w:r>
      <w:r w:rsidRPr="00110AF4">
        <w:rPr>
          <w:rtl/>
        </w:rPr>
        <w:t xml:space="preserve"> </w:t>
      </w:r>
      <w:r w:rsidRPr="00110AF4">
        <w:rPr>
          <w:rFonts w:hint="eastAsia"/>
          <w:rtl/>
        </w:rPr>
        <w:t>انزيمات</w:t>
      </w:r>
      <w:r w:rsidRPr="00110AF4">
        <w:rPr>
          <w:rtl/>
        </w:rPr>
        <w:t xml:space="preserve"> </w:t>
      </w:r>
      <w:r w:rsidRPr="00110AF4">
        <w:rPr>
          <w:rFonts w:hint="eastAsia"/>
          <w:rtl/>
        </w:rPr>
        <w:t>الكبد</w:t>
      </w:r>
      <w:r w:rsidRPr="00110AF4">
        <w:rPr>
          <w:rtl/>
        </w:rPr>
        <w:t xml:space="preserve"> </w:t>
      </w:r>
      <w:r w:rsidRPr="00110AF4">
        <w:rPr>
          <w:rFonts w:hint="eastAsia"/>
          <w:rtl/>
        </w:rPr>
        <w:t>والاطلاع</w:t>
      </w:r>
      <w:r w:rsidRPr="00110AF4">
        <w:rPr>
          <w:rtl/>
        </w:rPr>
        <w:t xml:space="preserve"> </w:t>
      </w:r>
      <w:r w:rsidRPr="00110AF4">
        <w:rPr>
          <w:rFonts w:hint="eastAsia"/>
          <w:rtl/>
        </w:rPr>
        <w:t>على</w:t>
      </w:r>
      <w:r w:rsidRPr="00110AF4">
        <w:rPr>
          <w:rtl/>
        </w:rPr>
        <w:t xml:space="preserve"> </w:t>
      </w:r>
      <w:r w:rsidRPr="00110AF4">
        <w:rPr>
          <w:rFonts w:hint="eastAsia"/>
          <w:rtl/>
        </w:rPr>
        <w:t>رسم</w:t>
      </w:r>
      <w:r w:rsidRPr="00110AF4">
        <w:rPr>
          <w:rtl/>
        </w:rPr>
        <w:t xml:space="preserve"> </w:t>
      </w:r>
      <w:r w:rsidRPr="00110AF4">
        <w:rPr>
          <w:rFonts w:hint="eastAsia"/>
          <w:rtl/>
        </w:rPr>
        <w:t>دم</w:t>
      </w:r>
      <w:r w:rsidRPr="00110AF4">
        <w:rPr>
          <w:rtl/>
        </w:rPr>
        <w:t xml:space="preserve"> </w:t>
      </w:r>
      <w:r w:rsidRPr="00110AF4">
        <w:rPr>
          <w:rFonts w:hint="eastAsia"/>
          <w:rtl/>
        </w:rPr>
        <w:t>كامل</w:t>
      </w:r>
      <w:r w:rsidRPr="00110AF4">
        <w:rPr>
          <w:rtl/>
        </w:rPr>
        <w:t xml:space="preserve"> </w:t>
      </w:r>
      <w:r w:rsidRPr="00110AF4">
        <w:rPr>
          <w:rFonts w:hint="eastAsia"/>
          <w:rtl/>
        </w:rPr>
        <w:t>قبل</w:t>
      </w:r>
      <w:r w:rsidRPr="00110AF4">
        <w:rPr>
          <w:rtl/>
        </w:rPr>
        <w:t xml:space="preserve"> </w:t>
      </w:r>
      <w:r w:rsidRPr="00110AF4">
        <w:rPr>
          <w:rFonts w:hint="eastAsia"/>
          <w:rtl/>
        </w:rPr>
        <w:t>بدء</w:t>
      </w:r>
      <w:r w:rsidRPr="00110AF4">
        <w:rPr>
          <w:rtl/>
        </w:rPr>
        <w:t xml:space="preserve"> </w:t>
      </w:r>
      <w:r w:rsidRPr="00110AF4">
        <w:rPr>
          <w:rFonts w:hint="eastAsia"/>
          <w:rtl/>
        </w:rPr>
        <w:t>العلاج</w:t>
      </w:r>
      <w:r w:rsidRPr="00110AF4">
        <w:rPr>
          <w:rtl/>
        </w:rPr>
        <w:t xml:space="preserve"> </w:t>
      </w:r>
      <w:r w:rsidRPr="00110AF4">
        <w:rPr>
          <w:rFonts w:hint="eastAsia"/>
          <w:rtl/>
        </w:rPr>
        <w:t>الدوائي</w:t>
      </w:r>
      <w:r w:rsidRPr="00110AF4">
        <w:rPr>
          <w:rtl/>
        </w:rPr>
        <w:t xml:space="preserve"> </w:t>
      </w:r>
      <w:r w:rsidRPr="00110AF4">
        <w:rPr>
          <w:rFonts w:hint="eastAsia"/>
          <w:rtl/>
        </w:rPr>
        <w:t>بالكاربامازيبين</w:t>
      </w:r>
      <w:r w:rsidRPr="00110AF4">
        <w:rPr>
          <w:rtl/>
        </w:rPr>
        <w:t>.</w:t>
      </w:r>
    </w:p>
    <w:p w:rsidR="00A23182" w:rsidRPr="00110AF4" w:rsidRDefault="00A23182" w:rsidP="007C6924">
      <w:pPr>
        <w:autoSpaceDE w:val="0"/>
        <w:autoSpaceDN w:val="0"/>
        <w:bidi/>
        <w:adjustRightInd w:val="0"/>
        <w:spacing w:after="0" w:line="360" w:lineRule="auto"/>
        <w:ind w:firstLine="425"/>
        <w:jc w:val="both"/>
        <w:rPr>
          <w:rtl/>
        </w:rPr>
      </w:pPr>
      <w:r w:rsidRPr="00110AF4">
        <w:rPr>
          <w:rFonts w:hint="eastAsia"/>
          <w:rtl/>
        </w:rPr>
        <w:t>تم</w:t>
      </w:r>
      <w:r w:rsidRPr="00110AF4">
        <w:rPr>
          <w:rtl/>
        </w:rPr>
        <w:t xml:space="preserve"> </w:t>
      </w:r>
      <w:r w:rsidRPr="00110AF4">
        <w:rPr>
          <w:rFonts w:hint="eastAsia"/>
          <w:rtl/>
        </w:rPr>
        <w:t>اعطاء</w:t>
      </w:r>
      <w:r w:rsidRPr="00110AF4">
        <w:rPr>
          <w:rtl/>
        </w:rPr>
        <w:t xml:space="preserve"> </w:t>
      </w:r>
      <w:r w:rsidRPr="00110AF4">
        <w:rPr>
          <w:rFonts w:hint="eastAsia"/>
          <w:rtl/>
        </w:rPr>
        <w:t>الكاربامازيبين</w:t>
      </w:r>
      <w:r w:rsidRPr="00110AF4">
        <w:rPr>
          <w:rtl/>
        </w:rPr>
        <w:t xml:space="preserve"> </w:t>
      </w:r>
      <w:r w:rsidRPr="00110AF4">
        <w:rPr>
          <w:rFonts w:hint="eastAsia"/>
          <w:rtl/>
        </w:rPr>
        <w:t>للأطفال</w:t>
      </w:r>
      <w:r w:rsidRPr="00110AF4">
        <w:rPr>
          <w:rtl/>
        </w:rPr>
        <w:t xml:space="preserve"> </w:t>
      </w:r>
      <w:r w:rsidRPr="00110AF4">
        <w:rPr>
          <w:rFonts w:hint="eastAsia"/>
          <w:rtl/>
        </w:rPr>
        <w:t>لمدة</w:t>
      </w:r>
      <w:r w:rsidRPr="00110AF4">
        <w:rPr>
          <w:rtl/>
        </w:rPr>
        <w:t xml:space="preserve"> 8 </w:t>
      </w:r>
      <w:r w:rsidRPr="00110AF4">
        <w:rPr>
          <w:rFonts w:hint="eastAsia"/>
          <w:rtl/>
        </w:rPr>
        <w:t>اسابيع</w:t>
      </w:r>
      <w:r w:rsidRPr="00110AF4">
        <w:rPr>
          <w:rtl/>
        </w:rPr>
        <w:t xml:space="preserve"> </w:t>
      </w:r>
      <w:r w:rsidRPr="00110AF4">
        <w:rPr>
          <w:rFonts w:hint="eastAsia"/>
          <w:rtl/>
        </w:rPr>
        <w:t>بمتوسط</w:t>
      </w:r>
      <w:r w:rsidRPr="00110AF4">
        <w:rPr>
          <w:rtl/>
        </w:rPr>
        <w:t xml:space="preserve"> </w:t>
      </w:r>
      <w:r w:rsidRPr="00110AF4">
        <w:rPr>
          <w:rFonts w:hint="eastAsia"/>
          <w:rtl/>
        </w:rPr>
        <w:t>جرعة</w:t>
      </w:r>
      <w:r w:rsidRPr="00110AF4">
        <w:rPr>
          <w:rtl/>
        </w:rPr>
        <w:t xml:space="preserve"> 5 </w:t>
      </w:r>
      <w:r w:rsidRPr="00110AF4">
        <w:rPr>
          <w:rFonts w:hint="eastAsia"/>
          <w:rtl/>
        </w:rPr>
        <w:t>ملجم</w:t>
      </w:r>
      <w:r w:rsidRPr="00110AF4">
        <w:rPr>
          <w:rtl/>
        </w:rPr>
        <w:t xml:space="preserve"> </w:t>
      </w:r>
      <w:r w:rsidRPr="00110AF4">
        <w:rPr>
          <w:rFonts w:hint="eastAsia"/>
          <w:rtl/>
        </w:rPr>
        <w:t>لكل</w:t>
      </w:r>
      <w:r w:rsidRPr="00110AF4">
        <w:rPr>
          <w:rtl/>
        </w:rPr>
        <w:t xml:space="preserve"> </w:t>
      </w:r>
      <w:r w:rsidRPr="00110AF4">
        <w:rPr>
          <w:rFonts w:hint="eastAsia"/>
          <w:rtl/>
        </w:rPr>
        <w:t>كجم</w:t>
      </w:r>
      <w:r w:rsidRPr="00110AF4">
        <w:rPr>
          <w:rtl/>
        </w:rPr>
        <w:t xml:space="preserve"> </w:t>
      </w:r>
      <w:r w:rsidRPr="00110AF4">
        <w:rPr>
          <w:rFonts w:hint="eastAsia"/>
          <w:rtl/>
        </w:rPr>
        <w:t>من</w:t>
      </w:r>
      <w:r w:rsidRPr="00110AF4">
        <w:rPr>
          <w:rtl/>
        </w:rPr>
        <w:t xml:space="preserve"> </w:t>
      </w:r>
      <w:r w:rsidRPr="00110AF4">
        <w:rPr>
          <w:rFonts w:hint="eastAsia"/>
          <w:rtl/>
        </w:rPr>
        <w:t>وزن</w:t>
      </w:r>
      <w:r w:rsidRPr="00110AF4">
        <w:rPr>
          <w:rtl/>
        </w:rPr>
        <w:t xml:space="preserve"> </w:t>
      </w:r>
      <w:r w:rsidRPr="00110AF4">
        <w:rPr>
          <w:rFonts w:hint="eastAsia"/>
          <w:rtl/>
        </w:rPr>
        <w:t>الطفل</w:t>
      </w:r>
      <w:r w:rsidRPr="00110AF4">
        <w:rPr>
          <w:rtl/>
        </w:rPr>
        <w:t xml:space="preserve"> </w:t>
      </w:r>
      <w:r w:rsidRPr="00110AF4">
        <w:rPr>
          <w:rFonts w:hint="eastAsia"/>
          <w:rtl/>
        </w:rPr>
        <w:t>يوميا</w:t>
      </w:r>
      <w:r w:rsidRPr="00110AF4">
        <w:rPr>
          <w:rtl/>
        </w:rPr>
        <w:t xml:space="preserve"> </w:t>
      </w:r>
      <w:r w:rsidRPr="00110AF4">
        <w:rPr>
          <w:rFonts w:hint="eastAsia"/>
          <w:rtl/>
        </w:rPr>
        <w:t>مع</w:t>
      </w:r>
      <w:r w:rsidRPr="00110AF4">
        <w:rPr>
          <w:rtl/>
        </w:rPr>
        <w:t xml:space="preserve"> </w:t>
      </w:r>
      <w:r w:rsidRPr="00110AF4">
        <w:rPr>
          <w:rFonts w:hint="eastAsia"/>
          <w:rtl/>
        </w:rPr>
        <w:t>متابعة</w:t>
      </w:r>
      <w:r w:rsidRPr="00110AF4">
        <w:rPr>
          <w:rtl/>
        </w:rPr>
        <w:t xml:space="preserve"> </w:t>
      </w:r>
      <w:r w:rsidRPr="00110AF4">
        <w:rPr>
          <w:rFonts w:hint="eastAsia"/>
          <w:rtl/>
        </w:rPr>
        <w:t>المرضى</w:t>
      </w:r>
      <w:r w:rsidRPr="00110AF4">
        <w:rPr>
          <w:rtl/>
        </w:rPr>
        <w:t xml:space="preserve"> </w:t>
      </w:r>
      <w:r w:rsidRPr="00110AF4">
        <w:rPr>
          <w:rFonts w:hint="eastAsia"/>
          <w:rtl/>
        </w:rPr>
        <w:t>اكلينيكيا</w:t>
      </w:r>
      <w:r w:rsidRPr="00110AF4">
        <w:rPr>
          <w:rtl/>
        </w:rPr>
        <w:t xml:space="preserve"> </w:t>
      </w:r>
      <w:r w:rsidRPr="00110AF4">
        <w:rPr>
          <w:rFonts w:hint="eastAsia"/>
          <w:rtl/>
        </w:rPr>
        <w:t>في</w:t>
      </w:r>
      <w:r w:rsidRPr="00110AF4">
        <w:rPr>
          <w:rtl/>
        </w:rPr>
        <w:t xml:space="preserve"> </w:t>
      </w:r>
      <w:r w:rsidRPr="00110AF4">
        <w:rPr>
          <w:rFonts w:hint="eastAsia"/>
          <w:rtl/>
        </w:rPr>
        <w:t>نهاية</w:t>
      </w:r>
      <w:r w:rsidRPr="00110AF4">
        <w:rPr>
          <w:rtl/>
        </w:rPr>
        <w:t xml:space="preserve"> </w:t>
      </w:r>
      <w:r w:rsidRPr="00110AF4">
        <w:rPr>
          <w:rFonts w:hint="eastAsia"/>
          <w:rtl/>
        </w:rPr>
        <w:t>الأسبوع</w:t>
      </w:r>
      <w:r w:rsidRPr="00110AF4">
        <w:rPr>
          <w:rtl/>
        </w:rPr>
        <w:t xml:space="preserve"> </w:t>
      </w:r>
      <w:r w:rsidRPr="00110AF4">
        <w:rPr>
          <w:rFonts w:hint="eastAsia"/>
          <w:rtl/>
        </w:rPr>
        <w:t>الثاني</w:t>
      </w:r>
      <w:r w:rsidRPr="00110AF4">
        <w:rPr>
          <w:rtl/>
        </w:rPr>
        <w:t xml:space="preserve"> </w:t>
      </w:r>
      <w:r w:rsidRPr="00110AF4">
        <w:rPr>
          <w:rFonts w:hint="eastAsia"/>
          <w:rtl/>
        </w:rPr>
        <w:t>والرابع</w:t>
      </w:r>
      <w:r w:rsidRPr="00110AF4">
        <w:rPr>
          <w:rtl/>
        </w:rPr>
        <w:t xml:space="preserve"> </w:t>
      </w:r>
      <w:r w:rsidRPr="00110AF4">
        <w:rPr>
          <w:rFonts w:hint="eastAsia"/>
          <w:rtl/>
        </w:rPr>
        <w:t>ثم</w:t>
      </w:r>
      <w:r w:rsidRPr="00110AF4">
        <w:rPr>
          <w:rtl/>
        </w:rPr>
        <w:t xml:space="preserve"> </w:t>
      </w:r>
      <w:r w:rsidRPr="00110AF4">
        <w:rPr>
          <w:rFonts w:hint="eastAsia"/>
          <w:rtl/>
        </w:rPr>
        <w:t>اعادة</w:t>
      </w:r>
      <w:r w:rsidRPr="00110AF4">
        <w:rPr>
          <w:rtl/>
        </w:rPr>
        <w:t xml:space="preserve"> </w:t>
      </w:r>
      <w:r w:rsidRPr="00110AF4">
        <w:rPr>
          <w:rFonts w:hint="eastAsia"/>
          <w:rtl/>
        </w:rPr>
        <w:t>تطبيق</w:t>
      </w:r>
      <w:r w:rsidRPr="00110AF4">
        <w:rPr>
          <w:rtl/>
        </w:rPr>
        <w:t xml:space="preserve"> </w:t>
      </w:r>
      <w:r w:rsidRPr="00110AF4">
        <w:rPr>
          <w:rFonts w:hint="eastAsia"/>
          <w:rtl/>
        </w:rPr>
        <w:t>مقياس</w:t>
      </w:r>
      <w:r w:rsidRPr="00110AF4">
        <w:rPr>
          <w:rtl/>
        </w:rPr>
        <w:t xml:space="preserve"> </w:t>
      </w:r>
      <w:r w:rsidRPr="00110AF4">
        <w:rPr>
          <w:rFonts w:hint="eastAsia"/>
          <w:rtl/>
        </w:rPr>
        <w:t>فرط</w:t>
      </w:r>
      <w:r w:rsidRPr="00110AF4">
        <w:rPr>
          <w:rtl/>
        </w:rPr>
        <w:t xml:space="preserve"> </w:t>
      </w:r>
      <w:r w:rsidRPr="00110AF4">
        <w:rPr>
          <w:rFonts w:hint="eastAsia"/>
          <w:rtl/>
        </w:rPr>
        <w:t>الحركة</w:t>
      </w:r>
      <w:r w:rsidRPr="00110AF4">
        <w:rPr>
          <w:rtl/>
        </w:rPr>
        <w:t xml:space="preserve"> </w:t>
      </w:r>
      <w:r w:rsidRPr="00110AF4">
        <w:rPr>
          <w:rFonts w:hint="eastAsia"/>
          <w:rtl/>
        </w:rPr>
        <w:t>ونقص</w:t>
      </w:r>
      <w:r w:rsidRPr="00110AF4">
        <w:rPr>
          <w:rtl/>
        </w:rPr>
        <w:t xml:space="preserve"> </w:t>
      </w:r>
      <w:r w:rsidRPr="00110AF4">
        <w:rPr>
          <w:rFonts w:hint="eastAsia"/>
          <w:rtl/>
        </w:rPr>
        <w:t>الانتباه</w:t>
      </w:r>
      <w:r w:rsidRPr="00110AF4">
        <w:rPr>
          <w:rtl/>
        </w:rPr>
        <w:t xml:space="preserve"> </w:t>
      </w:r>
      <w:r w:rsidRPr="00110AF4">
        <w:rPr>
          <w:rFonts w:hint="eastAsia"/>
          <w:rtl/>
        </w:rPr>
        <w:t>بواسطة</w:t>
      </w:r>
      <w:r w:rsidRPr="00110AF4">
        <w:rPr>
          <w:rtl/>
        </w:rPr>
        <w:t xml:space="preserve"> </w:t>
      </w:r>
      <w:r w:rsidRPr="00110AF4">
        <w:rPr>
          <w:rFonts w:hint="eastAsia"/>
          <w:rtl/>
        </w:rPr>
        <w:t>ولي</w:t>
      </w:r>
      <w:r w:rsidRPr="00110AF4">
        <w:rPr>
          <w:rtl/>
        </w:rPr>
        <w:t xml:space="preserve"> </w:t>
      </w:r>
      <w:r w:rsidRPr="00110AF4">
        <w:rPr>
          <w:rFonts w:hint="eastAsia"/>
          <w:rtl/>
        </w:rPr>
        <w:t>أمر</w:t>
      </w:r>
      <w:r w:rsidRPr="00110AF4">
        <w:rPr>
          <w:rtl/>
        </w:rPr>
        <w:t xml:space="preserve"> </w:t>
      </w:r>
      <w:r w:rsidRPr="00110AF4">
        <w:rPr>
          <w:rFonts w:hint="eastAsia"/>
          <w:rtl/>
        </w:rPr>
        <w:t>الطفل</w:t>
      </w:r>
      <w:r w:rsidRPr="00110AF4">
        <w:rPr>
          <w:rtl/>
        </w:rPr>
        <w:t xml:space="preserve"> </w:t>
      </w:r>
      <w:r w:rsidRPr="00110AF4">
        <w:rPr>
          <w:rFonts w:hint="eastAsia"/>
          <w:rtl/>
        </w:rPr>
        <w:t>في</w:t>
      </w:r>
      <w:r w:rsidRPr="00110AF4">
        <w:rPr>
          <w:rtl/>
        </w:rPr>
        <w:t xml:space="preserve"> </w:t>
      </w:r>
      <w:r w:rsidRPr="00110AF4">
        <w:rPr>
          <w:rFonts w:hint="eastAsia"/>
          <w:rtl/>
        </w:rPr>
        <w:t>الاسبوع</w:t>
      </w:r>
      <w:r w:rsidRPr="00110AF4">
        <w:rPr>
          <w:rtl/>
        </w:rPr>
        <w:t xml:space="preserve"> </w:t>
      </w:r>
      <w:r w:rsidRPr="00110AF4">
        <w:rPr>
          <w:rFonts w:hint="eastAsia"/>
          <w:rtl/>
        </w:rPr>
        <w:t>الثامن</w:t>
      </w:r>
      <w:r w:rsidRPr="00110AF4">
        <w:rPr>
          <w:rtl/>
        </w:rPr>
        <w:t xml:space="preserve"> </w:t>
      </w:r>
      <w:r w:rsidRPr="00110AF4">
        <w:rPr>
          <w:rFonts w:hint="eastAsia"/>
          <w:rtl/>
        </w:rPr>
        <w:t>مع</w:t>
      </w:r>
      <w:r w:rsidRPr="00110AF4">
        <w:rPr>
          <w:rtl/>
        </w:rPr>
        <w:t xml:space="preserve"> </w:t>
      </w:r>
      <w:r w:rsidRPr="00110AF4">
        <w:rPr>
          <w:rFonts w:hint="eastAsia"/>
          <w:rtl/>
        </w:rPr>
        <w:t>اعادة</w:t>
      </w:r>
      <w:r w:rsidRPr="00110AF4">
        <w:rPr>
          <w:rtl/>
        </w:rPr>
        <w:t xml:space="preserve"> </w:t>
      </w:r>
      <w:r w:rsidRPr="00110AF4">
        <w:rPr>
          <w:rFonts w:hint="eastAsia"/>
          <w:rtl/>
        </w:rPr>
        <w:t>فحص</w:t>
      </w:r>
      <w:r w:rsidRPr="00110AF4">
        <w:rPr>
          <w:rtl/>
        </w:rPr>
        <w:t xml:space="preserve"> </w:t>
      </w:r>
      <w:r w:rsidRPr="00110AF4">
        <w:rPr>
          <w:rFonts w:hint="eastAsia"/>
          <w:rtl/>
        </w:rPr>
        <w:t>انزيمات</w:t>
      </w:r>
      <w:r w:rsidRPr="00110AF4">
        <w:rPr>
          <w:rtl/>
        </w:rPr>
        <w:t xml:space="preserve"> </w:t>
      </w:r>
      <w:r w:rsidRPr="00110AF4">
        <w:rPr>
          <w:rFonts w:hint="eastAsia"/>
          <w:rtl/>
        </w:rPr>
        <w:t>الكبد</w:t>
      </w:r>
      <w:r w:rsidRPr="00110AF4">
        <w:rPr>
          <w:rtl/>
        </w:rPr>
        <w:t xml:space="preserve"> </w:t>
      </w:r>
      <w:r w:rsidRPr="00110AF4">
        <w:rPr>
          <w:rFonts w:hint="eastAsia"/>
          <w:rtl/>
        </w:rPr>
        <w:t>ورسم</w:t>
      </w:r>
      <w:r w:rsidRPr="00110AF4">
        <w:rPr>
          <w:rtl/>
        </w:rPr>
        <w:t xml:space="preserve"> </w:t>
      </w:r>
      <w:r w:rsidRPr="00110AF4">
        <w:rPr>
          <w:rFonts w:hint="eastAsia"/>
          <w:rtl/>
        </w:rPr>
        <w:t>الدم</w:t>
      </w:r>
      <w:r w:rsidRPr="00110AF4">
        <w:rPr>
          <w:rtl/>
        </w:rPr>
        <w:t>.</w:t>
      </w:r>
    </w:p>
    <w:p w:rsidR="00A23182" w:rsidRPr="00110AF4" w:rsidRDefault="00A23182" w:rsidP="007C6924">
      <w:pPr>
        <w:autoSpaceDE w:val="0"/>
        <w:autoSpaceDN w:val="0"/>
        <w:bidi/>
        <w:adjustRightInd w:val="0"/>
        <w:spacing w:after="0" w:line="360" w:lineRule="auto"/>
        <w:ind w:firstLine="425"/>
        <w:jc w:val="both"/>
        <w:rPr>
          <w:rtl/>
        </w:rPr>
      </w:pPr>
      <w:r w:rsidRPr="00110AF4">
        <w:rPr>
          <w:rFonts w:hint="eastAsia"/>
          <w:rtl/>
        </w:rPr>
        <w:t>نتائج</w:t>
      </w:r>
      <w:r w:rsidRPr="00110AF4">
        <w:rPr>
          <w:rtl/>
        </w:rPr>
        <w:t xml:space="preserve"> </w:t>
      </w:r>
      <w:r w:rsidRPr="00110AF4">
        <w:rPr>
          <w:rFonts w:hint="eastAsia"/>
          <w:rtl/>
        </w:rPr>
        <w:t>الدراسة</w:t>
      </w:r>
      <w:r w:rsidRPr="00110AF4">
        <w:rPr>
          <w:rtl/>
        </w:rPr>
        <w:t>:</w:t>
      </w:r>
    </w:p>
    <w:p w:rsidR="00A23182" w:rsidRPr="00110AF4" w:rsidRDefault="00A23182" w:rsidP="007C6924">
      <w:pPr>
        <w:autoSpaceDE w:val="0"/>
        <w:autoSpaceDN w:val="0"/>
        <w:bidi/>
        <w:adjustRightInd w:val="0"/>
        <w:spacing w:after="0" w:line="360" w:lineRule="auto"/>
        <w:ind w:firstLine="425"/>
        <w:jc w:val="both"/>
        <w:rPr>
          <w:rtl/>
        </w:rPr>
      </w:pPr>
      <w:r w:rsidRPr="00110AF4">
        <w:rPr>
          <w:rFonts w:hint="eastAsia"/>
          <w:rtl/>
        </w:rPr>
        <w:t>خلصت</w:t>
      </w:r>
      <w:r w:rsidRPr="00110AF4">
        <w:rPr>
          <w:rtl/>
        </w:rPr>
        <w:t xml:space="preserve"> </w:t>
      </w:r>
      <w:r w:rsidRPr="00110AF4">
        <w:rPr>
          <w:rFonts w:hint="eastAsia"/>
          <w:rtl/>
        </w:rPr>
        <w:t>الدراسة</w:t>
      </w:r>
      <w:r w:rsidRPr="00110AF4">
        <w:rPr>
          <w:rtl/>
        </w:rPr>
        <w:t xml:space="preserve"> </w:t>
      </w:r>
      <w:r w:rsidRPr="00110AF4">
        <w:rPr>
          <w:rFonts w:hint="eastAsia"/>
          <w:rtl/>
        </w:rPr>
        <w:t>الى</w:t>
      </w:r>
      <w:r w:rsidRPr="00110AF4">
        <w:rPr>
          <w:rtl/>
        </w:rPr>
        <w:t xml:space="preserve"> </w:t>
      </w:r>
      <w:r w:rsidRPr="00110AF4">
        <w:rPr>
          <w:rFonts w:hint="eastAsia"/>
          <w:rtl/>
        </w:rPr>
        <w:t>فعالية</w:t>
      </w:r>
      <w:r w:rsidRPr="00110AF4">
        <w:rPr>
          <w:rtl/>
        </w:rPr>
        <w:t xml:space="preserve"> </w:t>
      </w:r>
      <w:r w:rsidRPr="00110AF4">
        <w:rPr>
          <w:rFonts w:hint="eastAsia"/>
          <w:rtl/>
        </w:rPr>
        <w:t>عقار</w:t>
      </w:r>
      <w:r w:rsidRPr="00110AF4">
        <w:rPr>
          <w:rtl/>
        </w:rPr>
        <w:t xml:space="preserve"> </w:t>
      </w:r>
      <w:r w:rsidRPr="00110AF4">
        <w:rPr>
          <w:rFonts w:hint="eastAsia"/>
          <w:rtl/>
        </w:rPr>
        <w:t>الكاربامازيبين</w:t>
      </w:r>
      <w:r w:rsidRPr="00110AF4">
        <w:rPr>
          <w:rtl/>
        </w:rPr>
        <w:t xml:space="preserve"> </w:t>
      </w:r>
      <w:r w:rsidRPr="00110AF4">
        <w:rPr>
          <w:rFonts w:hint="eastAsia"/>
          <w:rtl/>
        </w:rPr>
        <w:t>في</w:t>
      </w:r>
      <w:r w:rsidRPr="00110AF4">
        <w:rPr>
          <w:rtl/>
        </w:rPr>
        <w:t xml:space="preserve"> </w:t>
      </w:r>
      <w:r w:rsidRPr="00110AF4">
        <w:rPr>
          <w:rFonts w:hint="eastAsia"/>
          <w:rtl/>
        </w:rPr>
        <w:t>تحسين</w:t>
      </w:r>
      <w:r w:rsidRPr="00110AF4">
        <w:rPr>
          <w:rtl/>
        </w:rPr>
        <w:t xml:space="preserve"> </w:t>
      </w:r>
      <w:r w:rsidRPr="00110AF4">
        <w:rPr>
          <w:rFonts w:hint="eastAsia"/>
          <w:rtl/>
        </w:rPr>
        <w:t>أعراض</w:t>
      </w:r>
      <w:r w:rsidRPr="00110AF4">
        <w:rPr>
          <w:rtl/>
        </w:rPr>
        <w:t xml:space="preserve"> </w:t>
      </w:r>
      <w:r w:rsidRPr="00110AF4">
        <w:rPr>
          <w:rFonts w:hint="eastAsia"/>
          <w:rtl/>
        </w:rPr>
        <w:t>تشتت</w:t>
      </w:r>
      <w:r w:rsidRPr="00110AF4">
        <w:rPr>
          <w:rtl/>
        </w:rPr>
        <w:t xml:space="preserve"> </w:t>
      </w:r>
      <w:r w:rsidRPr="00110AF4">
        <w:rPr>
          <w:rFonts w:hint="eastAsia"/>
          <w:rtl/>
        </w:rPr>
        <w:t>الانتباه</w:t>
      </w:r>
      <w:r w:rsidRPr="00110AF4">
        <w:rPr>
          <w:rtl/>
        </w:rPr>
        <w:t xml:space="preserve"> </w:t>
      </w:r>
      <w:r w:rsidRPr="00110AF4">
        <w:rPr>
          <w:rFonts w:hint="eastAsia"/>
          <w:rtl/>
        </w:rPr>
        <w:t>لدى</w:t>
      </w:r>
      <w:r w:rsidRPr="00110AF4">
        <w:rPr>
          <w:rtl/>
        </w:rPr>
        <w:t xml:space="preserve"> </w:t>
      </w:r>
      <w:r w:rsidRPr="00110AF4">
        <w:rPr>
          <w:rFonts w:hint="eastAsia"/>
          <w:rtl/>
        </w:rPr>
        <w:t>الأطفال</w:t>
      </w:r>
      <w:r w:rsidRPr="00110AF4">
        <w:rPr>
          <w:rtl/>
        </w:rPr>
        <w:t xml:space="preserve"> </w:t>
      </w:r>
      <w:r w:rsidRPr="00110AF4">
        <w:rPr>
          <w:rFonts w:hint="eastAsia"/>
          <w:rtl/>
        </w:rPr>
        <w:t>المصابين</w:t>
      </w:r>
      <w:r w:rsidRPr="00110AF4">
        <w:rPr>
          <w:rtl/>
        </w:rPr>
        <w:t xml:space="preserve"> </w:t>
      </w:r>
      <w:r w:rsidRPr="00110AF4">
        <w:rPr>
          <w:rFonts w:hint="eastAsia"/>
          <w:rtl/>
        </w:rPr>
        <w:t>باضطراب</w:t>
      </w:r>
      <w:r w:rsidRPr="00110AF4">
        <w:rPr>
          <w:rtl/>
        </w:rPr>
        <w:t xml:space="preserve"> </w:t>
      </w:r>
      <w:r w:rsidRPr="00110AF4">
        <w:rPr>
          <w:rFonts w:hint="eastAsia"/>
          <w:rtl/>
        </w:rPr>
        <w:t>فرط</w:t>
      </w:r>
      <w:r w:rsidRPr="00110AF4">
        <w:rPr>
          <w:rtl/>
        </w:rPr>
        <w:t xml:space="preserve"> </w:t>
      </w:r>
      <w:r w:rsidRPr="00110AF4">
        <w:rPr>
          <w:rFonts w:hint="eastAsia"/>
          <w:rtl/>
        </w:rPr>
        <w:t>الحركة</w:t>
      </w:r>
      <w:r w:rsidRPr="00110AF4">
        <w:rPr>
          <w:rtl/>
        </w:rPr>
        <w:t xml:space="preserve"> </w:t>
      </w:r>
      <w:r w:rsidRPr="00110AF4">
        <w:rPr>
          <w:rFonts w:hint="eastAsia"/>
          <w:rtl/>
        </w:rPr>
        <w:t>وتشتت</w:t>
      </w:r>
      <w:r w:rsidRPr="00110AF4">
        <w:rPr>
          <w:rtl/>
        </w:rPr>
        <w:t xml:space="preserve"> </w:t>
      </w:r>
      <w:r w:rsidRPr="00110AF4">
        <w:rPr>
          <w:rFonts w:hint="eastAsia"/>
          <w:rtl/>
        </w:rPr>
        <w:t>الانتباه</w:t>
      </w:r>
      <w:r w:rsidRPr="00110AF4">
        <w:rPr>
          <w:rtl/>
        </w:rPr>
        <w:t xml:space="preserve">. </w:t>
      </w:r>
      <w:r w:rsidRPr="00110AF4">
        <w:rPr>
          <w:rFonts w:hint="eastAsia"/>
          <w:rtl/>
        </w:rPr>
        <w:t>بينما</w:t>
      </w:r>
      <w:r w:rsidRPr="00110AF4">
        <w:rPr>
          <w:rtl/>
        </w:rPr>
        <w:t xml:space="preserve"> </w:t>
      </w:r>
      <w:r w:rsidRPr="00110AF4">
        <w:rPr>
          <w:rFonts w:hint="eastAsia"/>
          <w:rtl/>
        </w:rPr>
        <w:t>لم</w:t>
      </w:r>
      <w:r w:rsidRPr="00110AF4">
        <w:rPr>
          <w:rtl/>
        </w:rPr>
        <w:t xml:space="preserve"> </w:t>
      </w:r>
      <w:r w:rsidRPr="00110AF4">
        <w:rPr>
          <w:rFonts w:hint="eastAsia"/>
          <w:rtl/>
        </w:rPr>
        <w:t>يكن</w:t>
      </w:r>
      <w:r w:rsidRPr="00110AF4">
        <w:rPr>
          <w:rtl/>
        </w:rPr>
        <w:t xml:space="preserve"> </w:t>
      </w:r>
      <w:r w:rsidRPr="00110AF4">
        <w:rPr>
          <w:rFonts w:hint="eastAsia"/>
          <w:rtl/>
        </w:rPr>
        <w:t>هناك</w:t>
      </w:r>
      <w:r w:rsidRPr="00110AF4">
        <w:rPr>
          <w:rtl/>
        </w:rPr>
        <w:t xml:space="preserve"> </w:t>
      </w:r>
      <w:r w:rsidRPr="00110AF4">
        <w:rPr>
          <w:rFonts w:hint="eastAsia"/>
          <w:rtl/>
        </w:rPr>
        <w:t>فرق</w:t>
      </w:r>
      <w:r w:rsidRPr="00110AF4">
        <w:rPr>
          <w:rtl/>
        </w:rPr>
        <w:t xml:space="preserve"> </w:t>
      </w:r>
      <w:r w:rsidRPr="00110AF4">
        <w:rPr>
          <w:rFonts w:hint="eastAsia"/>
          <w:rtl/>
        </w:rPr>
        <w:t>ذو</w:t>
      </w:r>
      <w:r w:rsidRPr="00110AF4">
        <w:rPr>
          <w:rtl/>
        </w:rPr>
        <w:t xml:space="preserve"> </w:t>
      </w:r>
      <w:r w:rsidRPr="00110AF4">
        <w:rPr>
          <w:rFonts w:hint="eastAsia"/>
          <w:rtl/>
        </w:rPr>
        <w:t>دلالة</w:t>
      </w:r>
      <w:r w:rsidRPr="00110AF4">
        <w:rPr>
          <w:rtl/>
        </w:rPr>
        <w:t xml:space="preserve"> </w:t>
      </w:r>
      <w:r w:rsidRPr="00110AF4">
        <w:rPr>
          <w:rFonts w:hint="eastAsia"/>
          <w:rtl/>
        </w:rPr>
        <w:t>احصائية</w:t>
      </w:r>
      <w:r w:rsidRPr="00110AF4">
        <w:rPr>
          <w:rtl/>
        </w:rPr>
        <w:t xml:space="preserve"> </w:t>
      </w:r>
      <w:r w:rsidRPr="00110AF4">
        <w:rPr>
          <w:rFonts w:hint="eastAsia"/>
          <w:rtl/>
        </w:rPr>
        <w:t>في</w:t>
      </w:r>
      <w:r w:rsidRPr="00110AF4">
        <w:rPr>
          <w:rtl/>
        </w:rPr>
        <w:t xml:space="preserve"> </w:t>
      </w:r>
      <w:r w:rsidRPr="00110AF4">
        <w:rPr>
          <w:rFonts w:hint="eastAsia"/>
          <w:rtl/>
        </w:rPr>
        <w:t>درجة</w:t>
      </w:r>
      <w:r w:rsidRPr="00110AF4">
        <w:rPr>
          <w:rtl/>
        </w:rPr>
        <w:t xml:space="preserve"> </w:t>
      </w:r>
      <w:r w:rsidRPr="00110AF4">
        <w:rPr>
          <w:rFonts w:hint="eastAsia"/>
          <w:rtl/>
        </w:rPr>
        <w:t>فرط</w:t>
      </w:r>
      <w:r w:rsidRPr="00110AF4">
        <w:rPr>
          <w:rtl/>
        </w:rPr>
        <w:t xml:space="preserve"> </w:t>
      </w:r>
      <w:r w:rsidRPr="00110AF4">
        <w:rPr>
          <w:rFonts w:hint="eastAsia"/>
          <w:rtl/>
        </w:rPr>
        <w:t>الحركة</w:t>
      </w:r>
      <w:r w:rsidRPr="00110AF4">
        <w:rPr>
          <w:rtl/>
        </w:rPr>
        <w:t xml:space="preserve"> </w:t>
      </w:r>
      <w:r w:rsidRPr="00110AF4">
        <w:rPr>
          <w:rFonts w:hint="eastAsia"/>
          <w:rtl/>
        </w:rPr>
        <w:t>لدى</w:t>
      </w:r>
      <w:r w:rsidRPr="00110AF4">
        <w:rPr>
          <w:rtl/>
        </w:rPr>
        <w:t xml:space="preserve"> </w:t>
      </w:r>
      <w:r w:rsidRPr="00110AF4">
        <w:rPr>
          <w:rFonts w:hint="eastAsia"/>
          <w:rtl/>
        </w:rPr>
        <w:t>هؤلاء</w:t>
      </w:r>
      <w:r w:rsidRPr="00110AF4">
        <w:rPr>
          <w:rtl/>
        </w:rPr>
        <w:t xml:space="preserve"> </w:t>
      </w:r>
      <w:r w:rsidRPr="00110AF4">
        <w:rPr>
          <w:rFonts w:hint="eastAsia"/>
          <w:rtl/>
        </w:rPr>
        <w:t>الأطفال</w:t>
      </w:r>
      <w:r w:rsidRPr="00110AF4">
        <w:rPr>
          <w:rtl/>
        </w:rPr>
        <w:t>.</w:t>
      </w:r>
    </w:p>
    <w:p w:rsidR="00A23182" w:rsidRPr="00110AF4" w:rsidRDefault="00A23182" w:rsidP="007C6924">
      <w:pPr>
        <w:autoSpaceDE w:val="0"/>
        <w:autoSpaceDN w:val="0"/>
        <w:bidi/>
        <w:adjustRightInd w:val="0"/>
        <w:spacing w:after="0" w:line="360" w:lineRule="auto"/>
        <w:ind w:firstLine="425"/>
        <w:jc w:val="both"/>
        <w:rPr>
          <w:rtl/>
        </w:rPr>
      </w:pPr>
      <w:r w:rsidRPr="00110AF4">
        <w:rPr>
          <w:rFonts w:hint="eastAsia"/>
          <w:rtl/>
        </w:rPr>
        <w:t>فيما</w:t>
      </w:r>
      <w:r w:rsidRPr="00110AF4">
        <w:rPr>
          <w:rtl/>
        </w:rPr>
        <w:t xml:space="preserve"> </w:t>
      </w:r>
      <w:r w:rsidRPr="00110AF4">
        <w:rPr>
          <w:rFonts w:hint="eastAsia"/>
          <w:rtl/>
        </w:rPr>
        <w:t>يخص</w:t>
      </w:r>
      <w:r w:rsidRPr="00110AF4">
        <w:rPr>
          <w:rtl/>
        </w:rPr>
        <w:t xml:space="preserve"> </w:t>
      </w:r>
      <w:r w:rsidRPr="00110AF4">
        <w:rPr>
          <w:rFonts w:hint="eastAsia"/>
          <w:rtl/>
        </w:rPr>
        <w:t>الأعراض</w:t>
      </w:r>
      <w:r w:rsidRPr="00110AF4">
        <w:rPr>
          <w:rtl/>
        </w:rPr>
        <w:t xml:space="preserve"> </w:t>
      </w:r>
      <w:r w:rsidRPr="00110AF4">
        <w:rPr>
          <w:rFonts w:hint="eastAsia"/>
          <w:rtl/>
        </w:rPr>
        <w:t>الجانبية</w:t>
      </w:r>
      <w:r w:rsidRPr="00110AF4">
        <w:rPr>
          <w:rtl/>
        </w:rPr>
        <w:t xml:space="preserve"> </w:t>
      </w:r>
      <w:r w:rsidRPr="00110AF4">
        <w:rPr>
          <w:rFonts w:hint="eastAsia"/>
          <w:rtl/>
        </w:rPr>
        <w:t>لعقار</w:t>
      </w:r>
      <w:r w:rsidRPr="00110AF4">
        <w:rPr>
          <w:rtl/>
        </w:rPr>
        <w:t xml:space="preserve"> </w:t>
      </w:r>
      <w:r w:rsidRPr="00110AF4">
        <w:rPr>
          <w:rFonts w:hint="eastAsia"/>
          <w:rtl/>
        </w:rPr>
        <w:t>الكاربامازيبين؛</w:t>
      </w:r>
      <w:r w:rsidRPr="00110AF4">
        <w:rPr>
          <w:rtl/>
        </w:rPr>
        <w:t xml:space="preserve"> </w:t>
      </w:r>
      <w:r w:rsidRPr="00110AF4">
        <w:rPr>
          <w:rFonts w:hint="eastAsia"/>
          <w:rtl/>
        </w:rPr>
        <w:t>كانت</w:t>
      </w:r>
      <w:r w:rsidRPr="00110AF4">
        <w:rPr>
          <w:rtl/>
        </w:rPr>
        <w:t xml:space="preserve"> </w:t>
      </w:r>
      <w:r w:rsidRPr="00110AF4">
        <w:rPr>
          <w:rFonts w:hint="eastAsia"/>
          <w:rtl/>
        </w:rPr>
        <w:t>اكثر</w:t>
      </w:r>
      <w:r w:rsidRPr="00110AF4">
        <w:rPr>
          <w:rtl/>
        </w:rPr>
        <w:t xml:space="preserve"> </w:t>
      </w:r>
      <w:r w:rsidRPr="00110AF4">
        <w:rPr>
          <w:rFonts w:hint="eastAsia"/>
          <w:rtl/>
        </w:rPr>
        <w:t>الأعراض</w:t>
      </w:r>
      <w:r w:rsidRPr="00110AF4">
        <w:rPr>
          <w:rtl/>
        </w:rPr>
        <w:t xml:space="preserve"> </w:t>
      </w:r>
      <w:r w:rsidRPr="00110AF4">
        <w:rPr>
          <w:rFonts w:hint="eastAsia"/>
          <w:rtl/>
        </w:rPr>
        <w:t>الجانبية</w:t>
      </w:r>
      <w:r w:rsidRPr="00110AF4">
        <w:rPr>
          <w:rtl/>
        </w:rPr>
        <w:t xml:space="preserve"> </w:t>
      </w:r>
      <w:r w:rsidRPr="00110AF4">
        <w:rPr>
          <w:rFonts w:hint="eastAsia"/>
          <w:rtl/>
        </w:rPr>
        <w:t>شيوعا</w:t>
      </w:r>
      <w:r w:rsidRPr="00110AF4">
        <w:rPr>
          <w:rtl/>
        </w:rPr>
        <w:t xml:space="preserve"> </w:t>
      </w:r>
      <w:r w:rsidRPr="00110AF4">
        <w:rPr>
          <w:rFonts w:hint="eastAsia"/>
          <w:rtl/>
        </w:rPr>
        <w:t>في</w:t>
      </w:r>
      <w:r w:rsidRPr="00110AF4">
        <w:rPr>
          <w:rtl/>
        </w:rPr>
        <w:t xml:space="preserve"> </w:t>
      </w:r>
      <w:r w:rsidRPr="00110AF4">
        <w:rPr>
          <w:rFonts w:hint="eastAsia"/>
          <w:rtl/>
        </w:rPr>
        <w:t>عينة</w:t>
      </w:r>
      <w:r w:rsidRPr="00110AF4">
        <w:rPr>
          <w:rtl/>
        </w:rPr>
        <w:t xml:space="preserve"> </w:t>
      </w:r>
      <w:r w:rsidRPr="00110AF4">
        <w:rPr>
          <w:rFonts w:hint="eastAsia"/>
          <w:rtl/>
        </w:rPr>
        <w:t>الدراسة</w:t>
      </w:r>
      <w:r w:rsidRPr="00110AF4">
        <w:rPr>
          <w:rtl/>
        </w:rPr>
        <w:t xml:space="preserve"> </w:t>
      </w:r>
      <w:r w:rsidRPr="00110AF4">
        <w:rPr>
          <w:rFonts w:hint="eastAsia"/>
          <w:rtl/>
        </w:rPr>
        <w:t>النعاس</w:t>
      </w:r>
      <w:r w:rsidRPr="00110AF4">
        <w:rPr>
          <w:rtl/>
        </w:rPr>
        <w:t xml:space="preserve"> </w:t>
      </w:r>
      <w:r w:rsidRPr="00110AF4">
        <w:rPr>
          <w:rFonts w:hint="eastAsia"/>
          <w:rtl/>
        </w:rPr>
        <w:t>و</w:t>
      </w:r>
      <w:r w:rsidRPr="00110AF4">
        <w:rPr>
          <w:rtl/>
        </w:rPr>
        <w:t xml:space="preserve"> </w:t>
      </w:r>
      <w:r w:rsidRPr="00110AF4">
        <w:rPr>
          <w:rFonts w:hint="eastAsia"/>
          <w:rtl/>
        </w:rPr>
        <w:t>آلام</w:t>
      </w:r>
      <w:r w:rsidRPr="00110AF4">
        <w:rPr>
          <w:rtl/>
        </w:rPr>
        <w:t xml:space="preserve"> </w:t>
      </w:r>
      <w:r w:rsidRPr="00110AF4">
        <w:rPr>
          <w:rFonts w:hint="eastAsia"/>
          <w:rtl/>
        </w:rPr>
        <w:t>طفيفة</w:t>
      </w:r>
      <w:r w:rsidRPr="00110AF4">
        <w:rPr>
          <w:rtl/>
        </w:rPr>
        <w:t xml:space="preserve"> </w:t>
      </w:r>
      <w:r w:rsidRPr="00110AF4">
        <w:rPr>
          <w:rFonts w:hint="eastAsia"/>
          <w:rtl/>
        </w:rPr>
        <w:t>بالمعدة</w:t>
      </w:r>
      <w:r w:rsidRPr="00110AF4">
        <w:rPr>
          <w:rtl/>
        </w:rPr>
        <w:t>.</w:t>
      </w:r>
    </w:p>
    <w:p w:rsidR="00A23182" w:rsidRPr="00110AF4" w:rsidRDefault="00A23182" w:rsidP="007C6924">
      <w:pPr>
        <w:autoSpaceDE w:val="0"/>
        <w:autoSpaceDN w:val="0"/>
        <w:bidi/>
        <w:adjustRightInd w:val="0"/>
        <w:spacing w:after="0" w:line="360" w:lineRule="auto"/>
        <w:ind w:firstLine="425"/>
        <w:jc w:val="both"/>
        <w:rPr>
          <w:rtl/>
        </w:rPr>
      </w:pPr>
      <w:r w:rsidRPr="00110AF4">
        <w:rPr>
          <w:rFonts w:hint="eastAsia"/>
          <w:rtl/>
        </w:rPr>
        <w:t>الخلاصة</w:t>
      </w:r>
      <w:r w:rsidRPr="00110AF4">
        <w:rPr>
          <w:rtl/>
        </w:rPr>
        <w:t>:</w:t>
      </w:r>
    </w:p>
    <w:p w:rsidR="00A23182" w:rsidRPr="00110AF4" w:rsidRDefault="00A23182" w:rsidP="007C6924">
      <w:pPr>
        <w:autoSpaceDE w:val="0"/>
        <w:autoSpaceDN w:val="0"/>
        <w:bidi/>
        <w:adjustRightInd w:val="0"/>
        <w:spacing w:after="0" w:line="360" w:lineRule="auto"/>
        <w:ind w:firstLine="425"/>
        <w:jc w:val="both"/>
        <w:rPr>
          <w:rtl/>
        </w:rPr>
      </w:pPr>
      <w:r w:rsidRPr="00110AF4">
        <w:rPr>
          <w:rFonts w:hint="eastAsia"/>
          <w:rtl/>
        </w:rPr>
        <w:t>يعد</w:t>
      </w:r>
      <w:r w:rsidRPr="00110AF4">
        <w:rPr>
          <w:rtl/>
        </w:rPr>
        <w:t xml:space="preserve"> </w:t>
      </w:r>
      <w:r w:rsidRPr="00110AF4">
        <w:rPr>
          <w:rFonts w:hint="eastAsia"/>
          <w:rtl/>
        </w:rPr>
        <w:t>استخدام</w:t>
      </w:r>
      <w:r w:rsidRPr="00110AF4">
        <w:rPr>
          <w:rtl/>
        </w:rPr>
        <w:t xml:space="preserve"> </w:t>
      </w:r>
      <w:r w:rsidRPr="00110AF4">
        <w:rPr>
          <w:rFonts w:hint="eastAsia"/>
          <w:rtl/>
        </w:rPr>
        <w:t>جرعات</w:t>
      </w:r>
      <w:r w:rsidRPr="00110AF4">
        <w:rPr>
          <w:rtl/>
        </w:rPr>
        <w:t xml:space="preserve"> </w:t>
      </w:r>
      <w:r w:rsidRPr="00110AF4">
        <w:rPr>
          <w:rFonts w:hint="eastAsia"/>
          <w:rtl/>
        </w:rPr>
        <w:t>قليلة</w:t>
      </w:r>
      <w:r w:rsidRPr="00110AF4">
        <w:rPr>
          <w:rtl/>
        </w:rPr>
        <w:t xml:space="preserve"> </w:t>
      </w:r>
      <w:r w:rsidRPr="00110AF4">
        <w:rPr>
          <w:rFonts w:hint="eastAsia"/>
          <w:rtl/>
        </w:rPr>
        <w:t>من</w:t>
      </w:r>
      <w:r w:rsidRPr="00110AF4">
        <w:rPr>
          <w:rtl/>
        </w:rPr>
        <w:t xml:space="preserve"> </w:t>
      </w:r>
      <w:r w:rsidRPr="00110AF4">
        <w:rPr>
          <w:rFonts w:hint="eastAsia"/>
          <w:rtl/>
        </w:rPr>
        <w:t>عقار</w:t>
      </w:r>
      <w:r w:rsidRPr="00110AF4">
        <w:rPr>
          <w:rtl/>
        </w:rPr>
        <w:t xml:space="preserve"> </w:t>
      </w:r>
      <w:r w:rsidRPr="00110AF4">
        <w:rPr>
          <w:rFonts w:hint="eastAsia"/>
          <w:rtl/>
        </w:rPr>
        <w:t>الكاربامازيبين</w:t>
      </w:r>
      <w:r w:rsidRPr="00110AF4">
        <w:rPr>
          <w:rtl/>
        </w:rPr>
        <w:t xml:space="preserve"> </w:t>
      </w:r>
      <w:r w:rsidRPr="00110AF4">
        <w:rPr>
          <w:rFonts w:hint="eastAsia"/>
          <w:rtl/>
        </w:rPr>
        <w:t>فعالا</w:t>
      </w:r>
      <w:r w:rsidRPr="00110AF4">
        <w:rPr>
          <w:rtl/>
        </w:rPr>
        <w:t xml:space="preserve"> </w:t>
      </w:r>
      <w:r w:rsidRPr="00110AF4">
        <w:rPr>
          <w:rFonts w:hint="eastAsia"/>
          <w:rtl/>
        </w:rPr>
        <w:t>في</w:t>
      </w:r>
      <w:r w:rsidRPr="00110AF4">
        <w:rPr>
          <w:rtl/>
        </w:rPr>
        <w:t xml:space="preserve"> </w:t>
      </w:r>
      <w:r w:rsidRPr="00110AF4">
        <w:rPr>
          <w:rFonts w:hint="eastAsia"/>
          <w:rtl/>
        </w:rPr>
        <w:t>بعض</w:t>
      </w:r>
      <w:r w:rsidRPr="00110AF4">
        <w:rPr>
          <w:rtl/>
        </w:rPr>
        <w:t xml:space="preserve"> </w:t>
      </w:r>
      <w:r w:rsidRPr="00110AF4">
        <w:rPr>
          <w:rFonts w:hint="eastAsia"/>
          <w:rtl/>
        </w:rPr>
        <w:t>حالات</w:t>
      </w:r>
      <w:r w:rsidRPr="00110AF4">
        <w:rPr>
          <w:rtl/>
        </w:rPr>
        <w:t xml:space="preserve"> </w:t>
      </w:r>
      <w:r w:rsidRPr="00110AF4">
        <w:rPr>
          <w:rFonts w:hint="eastAsia"/>
          <w:rtl/>
        </w:rPr>
        <w:t>اضطراب</w:t>
      </w:r>
      <w:r w:rsidRPr="00110AF4">
        <w:rPr>
          <w:rtl/>
        </w:rPr>
        <w:t xml:space="preserve"> </w:t>
      </w:r>
      <w:r w:rsidRPr="00110AF4">
        <w:rPr>
          <w:rFonts w:hint="eastAsia"/>
          <w:rtl/>
        </w:rPr>
        <w:t>فرط</w:t>
      </w:r>
      <w:r w:rsidRPr="00110AF4">
        <w:rPr>
          <w:rtl/>
        </w:rPr>
        <w:t xml:space="preserve"> </w:t>
      </w:r>
      <w:r w:rsidRPr="00110AF4">
        <w:rPr>
          <w:rFonts w:hint="eastAsia"/>
          <w:rtl/>
        </w:rPr>
        <w:t>الحركة</w:t>
      </w:r>
      <w:r w:rsidRPr="00110AF4">
        <w:rPr>
          <w:rtl/>
        </w:rPr>
        <w:t xml:space="preserve"> </w:t>
      </w:r>
      <w:r w:rsidRPr="00110AF4">
        <w:rPr>
          <w:rFonts w:hint="eastAsia"/>
          <w:rtl/>
        </w:rPr>
        <w:t>وتشتت</w:t>
      </w:r>
      <w:r w:rsidRPr="00110AF4">
        <w:rPr>
          <w:rtl/>
        </w:rPr>
        <w:t xml:space="preserve"> </w:t>
      </w:r>
      <w:r w:rsidRPr="00110AF4">
        <w:rPr>
          <w:rFonts w:hint="eastAsia"/>
          <w:rtl/>
        </w:rPr>
        <w:t>الانتباه</w:t>
      </w:r>
      <w:r w:rsidRPr="00110AF4">
        <w:rPr>
          <w:rtl/>
        </w:rPr>
        <w:t xml:space="preserve"> </w:t>
      </w:r>
      <w:r w:rsidRPr="00110AF4">
        <w:rPr>
          <w:rFonts w:hint="eastAsia"/>
          <w:rtl/>
        </w:rPr>
        <w:t>لدى</w:t>
      </w:r>
      <w:r w:rsidRPr="00110AF4">
        <w:rPr>
          <w:rtl/>
        </w:rPr>
        <w:t xml:space="preserve"> </w:t>
      </w:r>
      <w:r w:rsidRPr="00110AF4">
        <w:rPr>
          <w:rFonts w:hint="eastAsia"/>
          <w:rtl/>
        </w:rPr>
        <w:t>الأطفال</w:t>
      </w:r>
      <w:r w:rsidRPr="00110AF4">
        <w:rPr>
          <w:rtl/>
        </w:rPr>
        <w:t xml:space="preserve"> </w:t>
      </w:r>
      <w:r w:rsidRPr="00110AF4">
        <w:rPr>
          <w:rFonts w:hint="eastAsia"/>
          <w:rtl/>
        </w:rPr>
        <w:t>وخاصة</w:t>
      </w:r>
      <w:r w:rsidRPr="00110AF4">
        <w:rPr>
          <w:rtl/>
        </w:rPr>
        <w:t xml:space="preserve"> </w:t>
      </w:r>
      <w:r w:rsidRPr="00110AF4">
        <w:rPr>
          <w:rFonts w:hint="eastAsia"/>
          <w:rtl/>
        </w:rPr>
        <w:t>عندما</w:t>
      </w:r>
      <w:r w:rsidRPr="00110AF4">
        <w:rPr>
          <w:rtl/>
        </w:rPr>
        <w:t xml:space="preserve"> </w:t>
      </w:r>
      <w:r w:rsidRPr="00110AF4">
        <w:rPr>
          <w:rFonts w:hint="eastAsia"/>
          <w:rtl/>
        </w:rPr>
        <w:t>يكون</w:t>
      </w:r>
      <w:r w:rsidRPr="00110AF4">
        <w:rPr>
          <w:rtl/>
        </w:rPr>
        <w:t xml:space="preserve"> </w:t>
      </w:r>
      <w:r w:rsidRPr="00110AF4">
        <w:rPr>
          <w:rFonts w:hint="eastAsia"/>
          <w:rtl/>
        </w:rPr>
        <w:t>مصحوبا</w:t>
      </w:r>
      <w:r w:rsidRPr="00110AF4">
        <w:rPr>
          <w:rtl/>
        </w:rPr>
        <w:t xml:space="preserve"> </w:t>
      </w:r>
      <w:r w:rsidRPr="00110AF4">
        <w:rPr>
          <w:rFonts w:hint="eastAsia"/>
          <w:rtl/>
        </w:rPr>
        <w:t>باضطراب</w:t>
      </w:r>
      <w:r w:rsidRPr="00110AF4">
        <w:rPr>
          <w:rtl/>
        </w:rPr>
        <w:t xml:space="preserve"> </w:t>
      </w:r>
      <w:r w:rsidRPr="00110AF4">
        <w:rPr>
          <w:rFonts w:hint="eastAsia"/>
          <w:rtl/>
        </w:rPr>
        <w:t>في</w:t>
      </w:r>
      <w:r w:rsidRPr="00110AF4">
        <w:rPr>
          <w:rtl/>
        </w:rPr>
        <w:t xml:space="preserve"> </w:t>
      </w:r>
      <w:r w:rsidRPr="00110AF4">
        <w:rPr>
          <w:rFonts w:hint="eastAsia"/>
          <w:rtl/>
        </w:rPr>
        <w:t>رسم</w:t>
      </w:r>
      <w:r w:rsidRPr="00110AF4">
        <w:rPr>
          <w:rtl/>
        </w:rPr>
        <w:t xml:space="preserve"> </w:t>
      </w:r>
      <w:r w:rsidRPr="00110AF4">
        <w:rPr>
          <w:rFonts w:hint="eastAsia"/>
          <w:rtl/>
        </w:rPr>
        <w:t>المخ</w:t>
      </w:r>
    </w:p>
    <w:p w:rsidR="00A23182" w:rsidRPr="00110AF4" w:rsidRDefault="00A23182" w:rsidP="007C6924">
      <w:pPr>
        <w:autoSpaceDE w:val="0"/>
        <w:autoSpaceDN w:val="0"/>
        <w:adjustRightInd w:val="0"/>
        <w:spacing w:after="0" w:line="360" w:lineRule="auto"/>
        <w:ind w:firstLine="425"/>
        <w:jc w:val="both"/>
      </w:pPr>
      <w:r w:rsidRPr="00110AF4">
        <w:t>Introduction:</w:t>
      </w:r>
    </w:p>
    <w:p w:rsidR="00A23182" w:rsidRPr="00110AF4" w:rsidRDefault="00A23182" w:rsidP="007C6924">
      <w:pPr>
        <w:autoSpaceDE w:val="0"/>
        <w:autoSpaceDN w:val="0"/>
        <w:adjustRightInd w:val="0"/>
        <w:spacing w:after="0" w:line="360" w:lineRule="auto"/>
        <w:ind w:firstLine="425"/>
        <w:jc w:val="both"/>
      </w:pPr>
      <w:r w:rsidRPr="00110AF4">
        <w:t>Attention deficit/hyperactivity disorder (ADHD) is a neurodevelopmental disorder defined by impairing levels of inattention, disorganization, and / or hyperactivity-impulsivity. ADHD is a common neuropsychiatric disorder in children affecting 6-6.9% of Egyptian children and adolescents (Anbar 2014). Studies agree that this disorder is more common in males than in females of Egyptian population. (Soliman et al, 2010)</w:t>
      </w:r>
    </w:p>
    <w:p w:rsidR="00A23182" w:rsidRPr="00110AF4" w:rsidRDefault="00A23182" w:rsidP="007C6924">
      <w:pPr>
        <w:autoSpaceDE w:val="0"/>
        <w:autoSpaceDN w:val="0"/>
        <w:adjustRightInd w:val="0"/>
        <w:spacing w:after="0" w:line="360" w:lineRule="auto"/>
        <w:ind w:firstLine="425"/>
        <w:jc w:val="both"/>
      </w:pPr>
      <w:r w:rsidRPr="00110AF4">
        <w:t>Several rating scales consistent with the DSM-IV conceptualization of ADHD are now available for use in both home and school settings. The ADHD Rating Scale-IV (ADHD RS-IV) is a commonly used ADHD rating scale, updated for and directly derived from DSM-IV symptom criteria, applied to children 4–18 years old. It can be completed by either parents (home form) or teachers (school form). The ADHD RS-IV has shown sensitivity to medication effects in several studies. It has high utility for multiple applications due to its quick completion (5–10 minutes), easy scoring, and sensitivity to treatment. (Collett et al, 2003.)</w:t>
      </w:r>
    </w:p>
    <w:p w:rsidR="00A23182" w:rsidRPr="00110AF4" w:rsidRDefault="00A23182" w:rsidP="007C6924">
      <w:pPr>
        <w:autoSpaceDE w:val="0"/>
        <w:autoSpaceDN w:val="0"/>
        <w:adjustRightInd w:val="0"/>
        <w:spacing w:after="0" w:line="360" w:lineRule="auto"/>
        <w:ind w:firstLine="425"/>
        <w:jc w:val="both"/>
      </w:pPr>
      <w:r w:rsidRPr="00110AF4">
        <w:t>Children with ADHD have relatively consistent EEG abnormalities: increased posterior absolute delta activity, globally elevated absolute and relative theta activity dominant frontally and reduced relative alpha and relative beta activity. A larger theta/beta ratio has also been found consistently in AD/HD children, compared with healthy controls. (Dupuy et al, 2013)</w:t>
      </w:r>
    </w:p>
    <w:p w:rsidR="00A23182" w:rsidRPr="00110AF4" w:rsidRDefault="00A23182" w:rsidP="007C6924">
      <w:pPr>
        <w:autoSpaceDE w:val="0"/>
        <w:autoSpaceDN w:val="0"/>
        <w:adjustRightInd w:val="0"/>
        <w:spacing w:after="0" w:line="360" w:lineRule="auto"/>
        <w:ind w:firstLine="425"/>
        <w:jc w:val="both"/>
      </w:pPr>
      <w:r w:rsidRPr="00110AF4">
        <w:t>Studies show that carbamazepine (CBZ) is a safe and effective treatment for children with features of ADHD when compared to placebo. However, these studies are scanty and were conducted on patients with some symptoms of ADHD that were not fulfilling the diagnostic criteria of ADHD (Silva et al, 1996). A later case study by Laporte and colleagues reported CBZ to cause significant improvement of ADHD symptoms and cognitive abilities in a patient suffering ADHD associated with EEG abnormalities. The improvement on CBZ was temporally associated to normalization of EEG findings (Laporte et al, 2002).In ADHD with comorbid epilepsy, CBZ is preferable to other antiepileptic drugs for its beneficial effect on attention as well as effective control of epilepsy (Schubert 2005). CBZ is also used as non-FDA approved off label medication for ADHD (Kattimani&amp;Mahadevan 2011). Additionally, in pediatric bipolar disorder cases, CBZ use as a maintenance therapy is beneficial in improving associated ADHD symptoms as well as depressive and psychotic symptoms (Deiana et al, 2011).</w:t>
      </w:r>
    </w:p>
    <w:p w:rsidR="00A23182" w:rsidRPr="00110AF4" w:rsidRDefault="00A23182" w:rsidP="007C6924">
      <w:pPr>
        <w:autoSpaceDE w:val="0"/>
        <w:autoSpaceDN w:val="0"/>
        <w:adjustRightInd w:val="0"/>
        <w:spacing w:after="0" w:line="360" w:lineRule="auto"/>
        <w:ind w:firstLine="425"/>
        <w:jc w:val="both"/>
      </w:pPr>
      <w:r w:rsidRPr="00110AF4">
        <w:t>Methods:</w:t>
      </w:r>
    </w:p>
    <w:p w:rsidR="00A23182" w:rsidRPr="00110AF4" w:rsidRDefault="00A23182" w:rsidP="007C6924">
      <w:pPr>
        <w:autoSpaceDE w:val="0"/>
        <w:autoSpaceDN w:val="0"/>
        <w:adjustRightInd w:val="0"/>
        <w:spacing w:after="0" w:line="360" w:lineRule="auto"/>
        <w:ind w:firstLine="425"/>
        <w:jc w:val="both"/>
      </w:pPr>
      <w:r w:rsidRPr="00110AF4">
        <w:t>Fifteen newly diagnosed ADHD children aged 4- 10 years old were enrolled in the study. All patients were diagnosed according to the fifth edition of the Diagnostic and Statistical Manual of Mental Disorders. All cases with comorbid neurological or psychiatric diagnoses were excluded from the study but only cases with comorbid specific learning disability were included. Patients with any contraindication to carbamazepine were also excluded from the study. All included patients had abnormal EEG findings.</w:t>
      </w:r>
    </w:p>
    <w:p w:rsidR="00A23182" w:rsidRPr="00110AF4" w:rsidRDefault="00A23182" w:rsidP="007C6924">
      <w:pPr>
        <w:autoSpaceDE w:val="0"/>
        <w:autoSpaceDN w:val="0"/>
        <w:adjustRightInd w:val="0"/>
        <w:spacing w:after="0" w:line="360" w:lineRule="auto"/>
        <w:ind w:firstLine="425"/>
        <w:jc w:val="both"/>
      </w:pPr>
      <w:r w:rsidRPr="00110AF4">
        <w:t>Prior to start of carbamazepine, all cases had complete blood count, liver enzymes assessment, IQ assessment using 5th edition of Stanford–Binet Intelligence Scale, ADHD Rating Scale 4th edition and EEG.</w:t>
      </w:r>
    </w:p>
    <w:p w:rsidR="00A23182" w:rsidRPr="00110AF4" w:rsidRDefault="00A23182" w:rsidP="007C6924">
      <w:pPr>
        <w:autoSpaceDE w:val="0"/>
        <w:autoSpaceDN w:val="0"/>
        <w:adjustRightInd w:val="0"/>
        <w:spacing w:after="0" w:line="360" w:lineRule="auto"/>
        <w:ind w:firstLine="425"/>
        <w:jc w:val="both"/>
      </w:pPr>
      <w:r w:rsidRPr="00110AF4">
        <w:t>All patients administered carbamazepine (Tegretol®) in mean starting dose 2.5 mg/kg body weight daily with gradual increase till mean maintenance dose 5 mg/kg/day. During the 1st 3 weeks of the study, 2 patients dropped out. The other 13 patients completed the 8 weeks period of the study.</w:t>
      </w:r>
    </w:p>
    <w:p w:rsidR="00A23182" w:rsidRPr="00110AF4" w:rsidRDefault="00A23182" w:rsidP="007C6924">
      <w:pPr>
        <w:autoSpaceDE w:val="0"/>
        <w:autoSpaceDN w:val="0"/>
        <w:adjustRightInd w:val="0"/>
        <w:spacing w:after="0" w:line="360" w:lineRule="auto"/>
        <w:ind w:firstLine="425"/>
        <w:jc w:val="both"/>
      </w:pPr>
      <w:r w:rsidRPr="00110AF4">
        <w:t>Cases were followed up through a period of 8 weeks for improvement of ADHD symptoms and appearance of drug adverse effects. At the end of 8th week, complete blood count and liver enzymes were re-assessed. ADHD RS was also repeated for all cases and was the main tool for evaluation of improvement.</w:t>
      </w:r>
    </w:p>
    <w:p w:rsidR="00A23182" w:rsidRPr="00110AF4" w:rsidRDefault="00A23182" w:rsidP="007C6924">
      <w:pPr>
        <w:autoSpaceDE w:val="0"/>
        <w:autoSpaceDN w:val="0"/>
        <w:adjustRightInd w:val="0"/>
        <w:spacing w:after="0" w:line="360" w:lineRule="auto"/>
        <w:ind w:firstLine="425"/>
        <w:jc w:val="both"/>
      </w:pPr>
      <w:r w:rsidRPr="00110AF4">
        <w:t>ADHD Rating Scale IV:</w:t>
      </w:r>
    </w:p>
    <w:p w:rsidR="00A23182" w:rsidRPr="00110AF4" w:rsidRDefault="00A23182" w:rsidP="007C6924">
      <w:pPr>
        <w:autoSpaceDE w:val="0"/>
        <w:autoSpaceDN w:val="0"/>
        <w:adjustRightInd w:val="0"/>
        <w:spacing w:after="0" w:line="360" w:lineRule="auto"/>
        <w:ind w:firstLine="425"/>
        <w:jc w:val="both"/>
      </w:pPr>
      <w:r w:rsidRPr="00110AF4">
        <w:t>The main assessment tool used in this study was the ADHD Rating Scale-IV; home form, The Arabic version, (Desouky, 2004) completed by the care giver of each child before and 8 weeks after initiation of treatment. It includes 18 items; 9 for inattention symptoms and 9 items for symptoms of hyperactivity and impulsivity. It measures 3 symptom domains in ADHD; inattention, hyperactivity and combined symptom domains. In each domain, corrected scores above 69 mean high symptoms, between 60-69 moderate symptoms and below 60 mean low symptoms (Collett et al, 2003).</w:t>
      </w:r>
    </w:p>
    <w:p w:rsidR="00A23182" w:rsidRPr="00110AF4" w:rsidRDefault="00A23182" w:rsidP="007C6924">
      <w:pPr>
        <w:autoSpaceDE w:val="0"/>
        <w:autoSpaceDN w:val="0"/>
        <w:adjustRightInd w:val="0"/>
        <w:spacing w:after="0" w:line="360" w:lineRule="auto"/>
        <w:ind w:firstLine="425"/>
        <w:jc w:val="both"/>
      </w:pPr>
      <w:r w:rsidRPr="00110AF4">
        <w:t>Statistical analysis:</w:t>
      </w:r>
    </w:p>
    <w:p w:rsidR="00A23182" w:rsidRPr="00110AF4" w:rsidRDefault="00A23182" w:rsidP="007C6924">
      <w:pPr>
        <w:autoSpaceDE w:val="0"/>
        <w:autoSpaceDN w:val="0"/>
        <w:adjustRightInd w:val="0"/>
        <w:spacing w:after="0" w:line="360" w:lineRule="auto"/>
        <w:ind w:firstLine="425"/>
        <w:jc w:val="both"/>
      </w:pPr>
      <w:r w:rsidRPr="00110AF4">
        <w:t>Data were analyzed using SPSS (Statistical Package for Social Science) Program version 18. Quantitative data e.g. age were presented as minimum, maximum, mean and standard deviation. Qualitative data e.g. sex, were presented as count and percentage.</w:t>
      </w:r>
    </w:p>
    <w:p w:rsidR="00A23182" w:rsidRPr="00110AF4" w:rsidRDefault="00A23182" w:rsidP="007C6924">
      <w:pPr>
        <w:autoSpaceDE w:val="0"/>
        <w:autoSpaceDN w:val="0"/>
        <w:adjustRightInd w:val="0"/>
        <w:spacing w:after="0" w:line="360" w:lineRule="auto"/>
        <w:ind w:firstLine="425"/>
        <w:jc w:val="both"/>
      </w:pPr>
      <w:r w:rsidRPr="00110AF4">
        <w:t>Paired t test was used to compare ADHD scores for patients before and after treatment and P value &lt; 0.05 was considered statistically significant.</w:t>
      </w:r>
    </w:p>
    <w:p w:rsidR="00A23182" w:rsidRPr="00110AF4" w:rsidRDefault="00A23182" w:rsidP="007C6924">
      <w:pPr>
        <w:autoSpaceDE w:val="0"/>
        <w:autoSpaceDN w:val="0"/>
        <w:adjustRightInd w:val="0"/>
        <w:spacing w:after="0" w:line="360" w:lineRule="auto"/>
        <w:ind w:firstLine="425"/>
        <w:jc w:val="both"/>
      </w:pPr>
      <w:r w:rsidRPr="00110AF4">
        <w:t>Results:</w:t>
      </w:r>
    </w:p>
    <w:p w:rsidR="00A23182" w:rsidRPr="00110AF4" w:rsidRDefault="00A23182" w:rsidP="007C6924">
      <w:pPr>
        <w:autoSpaceDE w:val="0"/>
        <w:autoSpaceDN w:val="0"/>
        <w:adjustRightInd w:val="0"/>
        <w:spacing w:after="0" w:line="360" w:lineRule="auto"/>
        <w:ind w:firstLine="425"/>
        <w:jc w:val="both"/>
      </w:pPr>
      <w:r w:rsidRPr="00110AF4">
        <w:t>In the current study, 15 ADHD children (mean age; 6.62 years; range 4-10 years) were enrolled. Demographic data, risk factors and developmental history are demonstrated in table 1. No cases had developmental delays at time of study.</w:t>
      </w:r>
    </w:p>
    <w:p w:rsidR="00A23182" w:rsidRPr="00110AF4" w:rsidRDefault="00A23182" w:rsidP="007C6924">
      <w:pPr>
        <w:spacing w:after="0" w:line="360" w:lineRule="auto"/>
        <w:ind w:firstLine="425"/>
        <w:jc w:val="both"/>
      </w:pPr>
      <w:r w:rsidRPr="00110AF4">
        <w:t>Table 1: Demographic data, risk factors and developmental history:</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81"/>
        <w:gridCol w:w="66"/>
        <w:gridCol w:w="3129"/>
        <w:gridCol w:w="1641"/>
        <w:gridCol w:w="1698"/>
        <w:gridCol w:w="1055"/>
        <w:gridCol w:w="734"/>
      </w:tblGrid>
      <w:tr w:rsidR="00A23182" w:rsidRPr="00110AF4">
        <w:trPr>
          <w:cantSplit/>
          <w:trHeight w:val="423"/>
          <w:tblHeader/>
          <w:jc w:val="center"/>
        </w:trPr>
        <w:tc>
          <w:tcPr>
            <w:tcW w:w="1568" w:type="dxa"/>
            <w:gridSpan w:val="2"/>
            <w:shd w:val="clear" w:color="auto" w:fill="FFFFFF"/>
            <w:vAlign w:val="center"/>
          </w:tcPr>
          <w:p w:rsidR="00A23182" w:rsidRPr="00110AF4" w:rsidRDefault="00A23182" w:rsidP="007C6924">
            <w:pPr>
              <w:spacing w:line="40" w:lineRule="atLeast"/>
            </w:pPr>
          </w:p>
        </w:tc>
        <w:tc>
          <w:tcPr>
            <w:tcW w:w="2519" w:type="dxa"/>
            <w:shd w:val="clear" w:color="auto" w:fill="FFFFFF"/>
            <w:vAlign w:val="center"/>
          </w:tcPr>
          <w:p w:rsidR="00A23182" w:rsidRPr="00110AF4" w:rsidRDefault="00A23182" w:rsidP="007C6924">
            <w:pPr>
              <w:spacing w:line="40" w:lineRule="atLeast"/>
            </w:pPr>
            <w:r w:rsidRPr="00110AF4">
              <w:t>N</w:t>
            </w:r>
          </w:p>
        </w:tc>
        <w:tc>
          <w:tcPr>
            <w:tcW w:w="1321" w:type="dxa"/>
            <w:shd w:val="clear" w:color="auto" w:fill="FFFFFF"/>
            <w:vAlign w:val="center"/>
          </w:tcPr>
          <w:p w:rsidR="00A23182" w:rsidRPr="00110AF4" w:rsidRDefault="00A23182" w:rsidP="007C6924">
            <w:pPr>
              <w:spacing w:line="40" w:lineRule="atLeast"/>
            </w:pPr>
            <w:r w:rsidRPr="00110AF4">
              <w:t>Minimum</w:t>
            </w:r>
          </w:p>
        </w:tc>
        <w:tc>
          <w:tcPr>
            <w:tcW w:w="1367" w:type="dxa"/>
            <w:shd w:val="clear" w:color="auto" w:fill="FFFFFF"/>
            <w:vAlign w:val="center"/>
          </w:tcPr>
          <w:p w:rsidR="00A23182" w:rsidRPr="00110AF4" w:rsidRDefault="00A23182" w:rsidP="007C6924">
            <w:pPr>
              <w:spacing w:line="40" w:lineRule="atLeast"/>
            </w:pPr>
            <w:r w:rsidRPr="00110AF4">
              <w:t>Maximum</w:t>
            </w:r>
          </w:p>
        </w:tc>
        <w:tc>
          <w:tcPr>
            <w:tcW w:w="849" w:type="dxa"/>
            <w:shd w:val="clear" w:color="auto" w:fill="FFFFFF"/>
            <w:vAlign w:val="center"/>
          </w:tcPr>
          <w:p w:rsidR="00A23182" w:rsidRPr="00110AF4" w:rsidRDefault="00A23182" w:rsidP="007C6924">
            <w:pPr>
              <w:spacing w:line="40" w:lineRule="atLeast"/>
            </w:pPr>
            <w:r w:rsidRPr="00110AF4">
              <w:t>Mean</w:t>
            </w:r>
          </w:p>
        </w:tc>
        <w:tc>
          <w:tcPr>
            <w:tcW w:w="591" w:type="dxa"/>
            <w:shd w:val="clear" w:color="auto" w:fill="FFFFFF"/>
            <w:vAlign w:val="center"/>
          </w:tcPr>
          <w:p w:rsidR="00A23182" w:rsidRPr="00110AF4" w:rsidRDefault="00A23182" w:rsidP="007C6924">
            <w:pPr>
              <w:spacing w:line="40" w:lineRule="atLeast"/>
            </w:pPr>
            <w:r w:rsidRPr="00110AF4">
              <w:t>SD</w:t>
            </w:r>
          </w:p>
        </w:tc>
      </w:tr>
      <w:tr w:rsidR="00A23182" w:rsidRPr="00110AF4">
        <w:trPr>
          <w:cantSplit/>
          <w:trHeight w:val="271"/>
          <w:tblHeader/>
          <w:jc w:val="center"/>
        </w:trPr>
        <w:tc>
          <w:tcPr>
            <w:tcW w:w="1568" w:type="dxa"/>
            <w:gridSpan w:val="2"/>
            <w:shd w:val="clear" w:color="auto" w:fill="FFFFFF"/>
            <w:vAlign w:val="center"/>
          </w:tcPr>
          <w:p w:rsidR="00A23182" w:rsidRPr="00110AF4" w:rsidRDefault="00A23182" w:rsidP="007C6924">
            <w:pPr>
              <w:spacing w:line="40" w:lineRule="atLeast"/>
            </w:pPr>
            <w:r w:rsidRPr="00110AF4">
              <w:t>Age in years</w:t>
            </w:r>
          </w:p>
        </w:tc>
        <w:tc>
          <w:tcPr>
            <w:tcW w:w="2519" w:type="dxa"/>
            <w:shd w:val="clear" w:color="auto" w:fill="FFFFFF"/>
          </w:tcPr>
          <w:p w:rsidR="00A23182" w:rsidRPr="00110AF4" w:rsidRDefault="00A23182" w:rsidP="007C6924">
            <w:pPr>
              <w:spacing w:line="40" w:lineRule="atLeast"/>
            </w:pPr>
            <w:r w:rsidRPr="00110AF4">
              <w:t>15</w:t>
            </w:r>
          </w:p>
        </w:tc>
        <w:tc>
          <w:tcPr>
            <w:tcW w:w="1321" w:type="dxa"/>
            <w:shd w:val="clear" w:color="auto" w:fill="FFFFFF"/>
          </w:tcPr>
          <w:p w:rsidR="00A23182" w:rsidRPr="00110AF4" w:rsidRDefault="00A23182" w:rsidP="007C6924">
            <w:pPr>
              <w:spacing w:line="40" w:lineRule="atLeast"/>
            </w:pPr>
            <w:r w:rsidRPr="00110AF4">
              <w:t>4.00</w:t>
            </w:r>
          </w:p>
        </w:tc>
        <w:tc>
          <w:tcPr>
            <w:tcW w:w="1367" w:type="dxa"/>
            <w:shd w:val="clear" w:color="auto" w:fill="FFFFFF"/>
          </w:tcPr>
          <w:p w:rsidR="00A23182" w:rsidRPr="00110AF4" w:rsidRDefault="00A23182" w:rsidP="007C6924">
            <w:pPr>
              <w:spacing w:line="40" w:lineRule="atLeast"/>
            </w:pPr>
            <w:r w:rsidRPr="00110AF4">
              <w:t>10.00</w:t>
            </w:r>
          </w:p>
        </w:tc>
        <w:tc>
          <w:tcPr>
            <w:tcW w:w="849" w:type="dxa"/>
            <w:shd w:val="clear" w:color="auto" w:fill="FFFFFF"/>
          </w:tcPr>
          <w:p w:rsidR="00A23182" w:rsidRPr="00110AF4" w:rsidRDefault="00A23182" w:rsidP="007C6924">
            <w:pPr>
              <w:spacing w:line="40" w:lineRule="atLeast"/>
            </w:pPr>
            <w:r w:rsidRPr="00110AF4">
              <w:t>6.62</w:t>
            </w:r>
          </w:p>
        </w:tc>
        <w:tc>
          <w:tcPr>
            <w:tcW w:w="591" w:type="dxa"/>
            <w:shd w:val="clear" w:color="auto" w:fill="FFFFFF"/>
          </w:tcPr>
          <w:p w:rsidR="00A23182" w:rsidRPr="00110AF4" w:rsidRDefault="00A23182" w:rsidP="007C6924">
            <w:pPr>
              <w:spacing w:line="40" w:lineRule="atLeast"/>
            </w:pPr>
            <w:r w:rsidRPr="00110AF4">
              <w:t>1.79</w:t>
            </w:r>
          </w:p>
        </w:tc>
      </w:tr>
      <w:tr w:rsidR="00A23182" w:rsidRPr="00110AF4">
        <w:trPr>
          <w:cantSplit/>
          <w:trHeight w:val="259"/>
          <w:tblHeader/>
          <w:jc w:val="center"/>
        </w:trPr>
        <w:tc>
          <w:tcPr>
            <w:tcW w:w="4087" w:type="dxa"/>
            <w:gridSpan w:val="3"/>
            <w:shd w:val="clear" w:color="auto" w:fill="FFFFFF"/>
            <w:vAlign w:val="center"/>
          </w:tcPr>
          <w:p w:rsidR="00A23182" w:rsidRPr="00110AF4" w:rsidRDefault="00A23182" w:rsidP="007C6924">
            <w:pPr>
              <w:spacing w:line="40" w:lineRule="atLeast"/>
            </w:pPr>
          </w:p>
        </w:tc>
        <w:tc>
          <w:tcPr>
            <w:tcW w:w="2688" w:type="dxa"/>
            <w:gridSpan w:val="2"/>
            <w:shd w:val="clear" w:color="auto" w:fill="FFFFFF"/>
            <w:vAlign w:val="center"/>
          </w:tcPr>
          <w:p w:rsidR="00A23182" w:rsidRPr="00110AF4" w:rsidRDefault="00A23182" w:rsidP="007C6924">
            <w:pPr>
              <w:spacing w:line="40" w:lineRule="atLeast"/>
            </w:pPr>
            <w:r w:rsidRPr="00110AF4">
              <w:t>N</w:t>
            </w:r>
          </w:p>
        </w:tc>
        <w:tc>
          <w:tcPr>
            <w:tcW w:w="1440" w:type="dxa"/>
            <w:gridSpan w:val="2"/>
            <w:shd w:val="clear" w:color="auto" w:fill="FFFFFF"/>
            <w:vAlign w:val="center"/>
          </w:tcPr>
          <w:p w:rsidR="00A23182" w:rsidRPr="00110AF4" w:rsidRDefault="00A23182" w:rsidP="007C6924">
            <w:pPr>
              <w:spacing w:line="40" w:lineRule="atLeast"/>
            </w:pPr>
            <w:r w:rsidRPr="00110AF4">
              <w:t>%</w:t>
            </w:r>
          </w:p>
        </w:tc>
      </w:tr>
      <w:tr w:rsidR="00A23182" w:rsidRPr="00110AF4">
        <w:trPr>
          <w:cantSplit/>
          <w:trHeight w:val="271"/>
          <w:tblHeader/>
          <w:jc w:val="center"/>
        </w:trPr>
        <w:tc>
          <w:tcPr>
            <w:tcW w:w="1515" w:type="dxa"/>
            <w:vMerge w:val="restart"/>
            <w:shd w:val="clear" w:color="auto" w:fill="FFFFFF"/>
            <w:vAlign w:val="center"/>
          </w:tcPr>
          <w:p w:rsidR="00A23182" w:rsidRPr="00110AF4" w:rsidRDefault="00A23182" w:rsidP="007C6924">
            <w:pPr>
              <w:spacing w:line="40" w:lineRule="atLeast"/>
            </w:pPr>
            <w:r w:rsidRPr="00110AF4">
              <w:t>Sex</w:t>
            </w:r>
          </w:p>
        </w:tc>
        <w:tc>
          <w:tcPr>
            <w:tcW w:w="2572" w:type="dxa"/>
            <w:gridSpan w:val="2"/>
            <w:shd w:val="clear" w:color="auto" w:fill="FFFFFF"/>
            <w:vAlign w:val="center"/>
          </w:tcPr>
          <w:p w:rsidR="00A23182" w:rsidRPr="00110AF4" w:rsidRDefault="00A23182" w:rsidP="007C6924">
            <w:pPr>
              <w:spacing w:line="40" w:lineRule="atLeast"/>
            </w:pPr>
            <w:r w:rsidRPr="00110AF4">
              <w:t>Male</w:t>
            </w:r>
          </w:p>
        </w:tc>
        <w:tc>
          <w:tcPr>
            <w:tcW w:w="2688" w:type="dxa"/>
            <w:gridSpan w:val="2"/>
            <w:shd w:val="clear" w:color="auto" w:fill="FFFFFF"/>
          </w:tcPr>
          <w:p w:rsidR="00A23182" w:rsidRPr="00110AF4" w:rsidRDefault="00A23182" w:rsidP="007C6924">
            <w:pPr>
              <w:spacing w:line="40" w:lineRule="atLeast"/>
            </w:pPr>
            <w:r w:rsidRPr="00110AF4">
              <w:t>13</w:t>
            </w:r>
          </w:p>
        </w:tc>
        <w:tc>
          <w:tcPr>
            <w:tcW w:w="1440" w:type="dxa"/>
            <w:gridSpan w:val="2"/>
            <w:shd w:val="clear" w:color="auto" w:fill="FFFFFF"/>
          </w:tcPr>
          <w:p w:rsidR="00A23182" w:rsidRPr="00110AF4" w:rsidRDefault="00A23182" w:rsidP="007C6924">
            <w:pPr>
              <w:spacing w:line="40" w:lineRule="atLeast"/>
            </w:pPr>
            <w:r w:rsidRPr="00110AF4">
              <w:t>86.7</w:t>
            </w:r>
          </w:p>
        </w:tc>
      </w:tr>
      <w:tr w:rsidR="00A23182" w:rsidRPr="00110AF4">
        <w:trPr>
          <w:cantSplit/>
          <w:trHeight w:val="121"/>
          <w:tblHeader/>
          <w:jc w:val="center"/>
        </w:trPr>
        <w:tc>
          <w:tcPr>
            <w:tcW w:w="1515" w:type="dxa"/>
            <w:vMerge/>
            <w:shd w:val="clear" w:color="auto" w:fill="FFFFFF"/>
            <w:vAlign w:val="center"/>
          </w:tcPr>
          <w:p w:rsidR="00A23182" w:rsidRPr="00110AF4" w:rsidRDefault="00A23182" w:rsidP="007C6924">
            <w:pPr>
              <w:spacing w:line="40" w:lineRule="atLeast"/>
            </w:pPr>
          </w:p>
        </w:tc>
        <w:tc>
          <w:tcPr>
            <w:tcW w:w="2572" w:type="dxa"/>
            <w:gridSpan w:val="2"/>
            <w:shd w:val="clear" w:color="auto" w:fill="FFFFFF"/>
            <w:vAlign w:val="center"/>
          </w:tcPr>
          <w:p w:rsidR="00A23182" w:rsidRPr="00110AF4" w:rsidRDefault="00A23182" w:rsidP="007C6924">
            <w:pPr>
              <w:spacing w:line="40" w:lineRule="atLeast"/>
            </w:pPr>
            <w:r w:rsidRPr="00110AF4">
              <w:t>Female</w:t>
            </w:r>
          </w:p>
        </w:tc>
        <w:tc>
          <w:tcPr>
            <w:tcW w:w="2688" w:type="dxa"/>
            <w:gridSpan w:val="2"/>
            <w:shd w:val="clear" w:color="auto" w:fill="FFFFFF"/>
          </w:tcPr>
          <w:p w:rsidR="00A23182" w:rsidRPr="00110AF4" w:rsidRDefault="00A23182" w:rsidP="007C6924">
            <w:pPr>
              <w:spacing w:line="40" w:lineRule="atLeast"/>
            </w:pPr>
            <w:r w:rsidRPr="00110AF4">
              <w:t>2</w:t>
            </w:r>
          </w:p>
        </w:tc>
        <w:tc>
          <w:tcPr>
            <w:tcW w:w="1440" w:type="dxa"/>
            <w:gridSpan w:val="2"/>
            <w:shd w:val="clear" w:color="auto" w:fill="FFFFFF"/>
          </w:tcPr>
          <w:p w:rsidR="00A23182" w:rsidRPr="00110AF4" w:rsidRDefault="00A23182" w:rsidP="007C6924">
            <w:pPr>
              <w:spacing w:line="40" w:lineRule="atLeast"/>
            </w:pPr>
            <w:r w:rsidRPr="00110AF4">
              <w:t>13.3</w:t>
            </w:r>
          </w:p>
        </w:tc>
      </w:tr>
      <w:tr w:rsidR="00A23182" w:rsidRPr="00110AF4">
        <w:trPr>
          <w:cantSplit/>
          <w:trHeight w:val="259"/>
          <w:tblHeader/>
          <w:jc w:val="center"/>
        </w:trPr>
        <w:tc>
          <w:tcPr>
            <w:tcW w:w="1515" w:type="dxa"/>
            <w:vMerge w:val="restart"/>
            <w:shd w:val="clear" w:color="auto" w:fill="FFFFFF"/>
            <w:vAlign w:val="center"/>
          </w:tcPr>
          <w:p w:rsidR="00A23182" w:rsidRPr="00110AF4" w:rsidRDefault="00A23182" w:rsidP="007C6924">
            <w:pPr>
              <w:spacing w:line="40" w:lineRule="atLeast"/>
            </w:pPr>
            <w:r w:rsidRPr="00110AF4">
              <w:t>Family history</w:t>
            </w:r>
          </w:p>
          <w:p w:rsidR="00A23182" w:rsidRPr="00110AF4" w:rsidRDefault="00A23182" w:rsidP="007C6924">
            <w:pPr>
              <w:spacing w:line="40" w:lineRule="atLeast"/>
            </w:pPr>
          </w:p>
        </w:tc>
        <w:tc>
          <w:tcPr>
            <w:tcW w:w="2572" w:type="dxa"/>
            <w:gridSpan w:val="2"/>
            <w:shd w:val="clear" w:color="auto" w:fill="FFFFFF"/>
            <w:vAlign w:val="center"/>
          </w:tcPr>
          <w:p w:rsidR="00A23182" w:rsidRPr="00110AF4" w:rsidRDefault="00A23182" w:rsidP="007C6924">
            <w:pPr>
              <w:spacing w:line="40" w:lineRule="atLeast"/>
            </w:pPr>
            <w:r w:rsidRPr="00110AF4">
              <w:t>Negative</w:t>
            </w:r>
          </w:p>
        </w:tc>
        <w:tc>
          <w:tcPr>
            <w:tcW w:w="2688" w:type="dxa"/>
            <w:gridSpan w:val="2"/>
            <w:shd w:val="clear" w:color="auto" w:fill="FFFFFF"/>
          </w:tcPr>
          <w:p w:rsidR="00A23182" w:rsidRPr="00110AF4" w:rsidRDefault="00A23182" w:rsidP="007C6924">
            <w:pPr>
              <w:spacing w:line="40" w:lineRule="atLeast"/>
            </w:pPr>
            <w:r w:rsidRPr="00110AF4">
              <w:t>13</w:t>
            </w:r>
          </w:p>
        </w:tc>
        <w:tc>
          <w:tcPr>
            <w:tcW w:w="1440" w:type="dxa"/>
            <w:gridSpan w:val="2"/>
            <w:shd w:val="clear" w:color="auto" w:fill="FFFFFF"/>
          </w:tcPr>
          <w:p w:rsidR="00A23182" w:rsidRPr="00110AF4" w:rsidRDefault="00A23182" w:rsidP="007C6924">
            <w:pPr>
              <w:spacing w:line="40" w:lineRule="atLeast"/>
            </w:pPr>
            <w:r w:rsidRPr="00110AF4">
              <w:t>86.7</w:t>
            </w:r>
          </w:p>
        </w:tc>
      </w:tr>
      <w:tr w:rsidR="00A23182" w:rsidRPr="00110AF4">
        <w:trPr>
          <w:cantSplit/>
          <w:trHeight w:val="121"/>
          <w:tblHeader/>
          <w:jc w:val="center"/>
        </w:trPr>
        <w:tc>
          <w:tcPr>
            <w:tcW w:w="1515" w:type="dxa"/>
            <w:vMerge/>
            <w:shd w:val="clear" w:color="auto" w:fill="FFFFFF"/>
            <w:vAlign w:val="center"/>
          </w:tcPr>
          <w:p w:rsidR="00A23182" w:rsidRPr="00110AF4" w:rsidRDefault="00A23182" w:rsidP="007C6924">
            <w:pPr>
              <w:spacing w:line="40" w:lineRule="atLeast"/>
            </w:pPr>
          </w:p>
        </w:tc>
        <w:tc>
          <w:tcPr>
            <w:tcW w:w="2572" w:type="dxa"/>
            <w:gridSpan w:val="2"/>
            <w:shd w:val="clear" w:color="auto" w:fill="FFFFFF"/>
            <w:vAlign w:val="center"/>
          </w:tcPr>
          <w:p w:rsidR="00A23182" w:rsidRPr="00110AF4" w:rsidRDefault="00A23182" w:rsidP="007C6924">
            <w:pPr>
              <w:spacing w:line="40" w:lineRule="atLeast"/>
            </w:pPr>
            <w:r w:rsidRPr="00110AF4">
              <w:t>ADHD</w:t>
            </w:r>
          </w:p>
        </w:tc>
        <w:tc>
          <w:tcPr>
            <w:tcW w:w="2688" w:type="dxa"/>
            <w:gridSpan w:val="2"/>
            <w:shd w:val="clear" w:color="auto" w:fill="FFFFFF"/>
          </w:tcPr>
          <w:p w:rsidR="00A23182" w:rsidRPr="00110AF4" w:rsidRDefault="00A23182" w:rsidP="007C6924">
            <w:pPr>
              <w:spacing w:line="40" w:lineRule="atLeast"/>
            </w:pPr>
            <w:r w:rsidRPr="00110AF4">
              <w:t>1</w:t>
            </w:r>
          </w:p>
        </w:tc>
        <w:tc>
          <w:tcPr>
            <w:tcW w:w="1440" w:type="dxa"/>
            <w:gridSpan w:val="2"/>
            <w:shd w:val="clear" w:color="auto" w:fill="FFFFFF"/>
          </w:tcPr>
          <w:p w:rsidR="00A23182" w:rsidRPr="00110AF4" w:rsidRDefault="00A23182" w:rsidP="007C6924">
            <w:pPr>
              <w:spacing w:line="40" w:lineRule="atLeast"/>
            </w:pPr>
            <w:r w:rsidRPr="00110AF4">
              <w:t>6.7</w:t>
            </w:r>
          </w:p>
        </w:tc>
      </w:tr>
      <w:tr w:rsidR="00A23182" w:rsidRPr="00110AF4">
        <w:trPr>
          <w:cantSplit/>
          <w:trHeight w:val="121"/>
          <w:tblHeader/>
          <w:jc w:val="center"/>
        </w:trPr>
        <w:tc>
          <w:tcPr>
            <w:tcW w:w="1515" w:type="dxa"/>
            <w:vMerge/>
            <w:shd w:val="clear" w:color="auto" w:fill="FFFFFF"/>
            <w:vAlign w:val="center"/>
          </w:tcPr>
          <w:p w:rsidR="00A23182" w:rsidRPr="00110AF4" w:rsidRDefault="00A23182" w:rsidP="007C6924">
            <w:pPr>
              <w:spacing w:line="40" w:lineRule="atLeast"/>
            </w:pPr>
          </w:p>
        </w:tc>
        <w:tc>
          <w:tcPr>
            <w:tcW w:w="2572" w:type="dxa"/>
            <w:gridSpan w:val="2"/>
            <w:shd w:val="clear" w:color="auto" w:fill="FFFFFF"/>
            <w:vAlign w:val="center"/>
          </w:tcPr>
          <w:p w:rsidR="00A23182" w:rsidRPr="00110AF4" w:rsidRDefault="00A23182" w:rsidP="007C6924">
            <w:pPr>
              <w:spacing w:line="40" w:lineRule="atLeast"/>
            </w:pPr>
            <w:r w:rsidRPr="00110AF4">
              <w:t>Intellectual disability</w:t>
            </w:r>
          </w:p>
        </w:tc>
        <w:tc>
          <w:tcPr>
            <w:tcW w:w="2688" w:type="dxa"/>
            <w:gridSpan w:val="2"/>
            <w:shd w:val="clear" w:color="auto" w:fill="FFFFFF"/>
          </w:tcPr>
          <w:p w:rsidR="00A23182" w:rsidRPr="00110AF4" w:rsidRDefault="00A23182" w:rsidP="007C6924">
            <w:pPr>
              <w:spacing w:line="40" w:lineRule="atLeast"/>
            </w:pPr>
            <w:r w:rsidRPr="00110AF4">
              <w:t>1</w:t>
            </w:r>
          </w:p>
        </w:tc>
        <w:tc>
          <w:tcPr>
            <w:tcW w:w="1440" w:type="dxa"/>
            <w:gridSpan w:val="2"/>
            <w:shd w:val="clear" w:color="auto" w:fill="FFFFFF"/>
          </w:tcPr>
          <w:p w:rsidR="00A23182" w:rsidRPr="00110AF4" w:rsidRDefault="00A23182" w:rsidP="007C6924">
            <w:pPr>
              <w:spacing w:line="40" w:lineRule="atLeast"/>
            </w:pPr>
            <w:r w:rsidRPr="00110AF4">
              <w:t>6.7</w:t>
            </w:r>
          </w:p>
        </w:tc>
      </w:tr>
      <w:tr w:rsidR="00A23182" w:rsidRPr="00110AF4">
        <w:trPr>
          <w:cantSplit/>
          <w:tblHeader/>
          <w:jc w:val="center"/>
        </w:trPr>
        <w:tc>
          <w:tcPr>
            <w:tcW w:w="1515" w:type="dxa"/>
            <w:shd w:val="clear" w:color="auto" w:fill="FFFFFF"/>
            <w:vAlign w:val="center"/>
          </w:tcPr>
          <w:p w:rsidR="00A23182" w:rsidRPr="00110AF4" w:rsidRDefault="00A23182" w:rsidP="007C6924">
            <w:pPr>
              <w:spacing w:line="40" w:lineRule="atLeast"/>
            </w:pPr>
            <w:r w:rsidRPr="00110AF4">
              <w:t>Prenatal smoking</w:t>
            </w:r>
          </w:p>
        </w:tc>
        <w:tc>
          <w:tcPr>
            <w:tcW w:w="2572" w:type="dxa"/>
            <w:gridSpan w:val="2"/>
            <w:shd w:val="clear" w:color="auto" w:fill="FFFFFF"/>
            <w:vAlign w:val="center"/>
          </w:tcPr>
          <w:p w:rsidR="00A23182" w:rsidRPr="00110AF4" w:rsidRDefault="00A23182" w:rsidP="007C6924">
            <w:pPr>
              <w:spacing w:line="40" w:lineRule="atLeast"/>
            </w:pPr>
            <w:r w:rsidRPr="00110AF4">
              <w:t>passive smoking</w:t>
            </w:r>
          </w:p>
        </w:tc>
        <w:tc>
          <w:tcPr>
            <w:tcW w:w="2688" w:type="dxa"/>
            <w:gridSpan w:val="2"/>
            <w:shd w:val="clear" w:color="auto" w:fill="FFFFFF"/>
            <w:vAlign w:val="center"/>
          </w:tcPr>
          <w:p w:rsidR="00A23182" w:rsidRPr="00110AF4" w:rsidRDefault="00A23182" w:rsidP="007C6924">
            <w:pPr>
              <w:spacing w:line="40" w:lineRule="atLeast"/>
            </w:pPr>
            <w:r w:rsidRPr="00110AF4">
              <w:t>4</w:t>
            </w:r>
          </w:p>
        </w:tc>
        <w:tc>
          <w:tcPr>
            <w:tcW w:w="1440" w:type="dxa"/>
            <w:gridSpan w:val="2"/>
            <w:shd w:val="clear" w:color="auto" w:fill="FFFFFF"/>
            <w:vAlign w:val="center"/>
          </w:tcPr>
          <w:p w:rsidR="00A23182" w:rsidRPr="00110AF4" w:rsidRDefault="00A23182" w:rsidP="007C6924">
            <w:pPr>
              <w:spacing w:line="40" w:lineRule="atLeast"/>
            </w:pPr>
            <w:r w:rsidRPr="00110AF4">
              <w:t>26.7</w:t>
            </w:r>
          </w:p>
        </w:tc>
      </w:tr>
      <w:tr w:rsidR="00A23182" w:rsidRPr="00110AF4">
        <w:trPr>
          <w:cantSplit/>
          <w:tblHeader/>
          <w:jc w:val="center"/>
        </w:trPr>
        <w:tc>
          <w:tcPr>
            <w:tcW w:w="1515" w:type="dxa"/>
            <w:shd w:val="clear" w:color="auto" w:fill="FFFFFF"/>
            <w:vAlign w:val="center"/>
          </w:tcPr>
          <w:p w:rsidR="00A23182" w:rsidRPr="00110AF4" w:rsidRDefault="00A23182" w:rsidP="007C6924">
            <w:pPr>
              <w:spacing w:line="40" w:lineRule="atLeast"/>
            </w:pPr>
            <w:r w:rsidRPr="00110AF4">
              <w:t>Prenatal drugs</w:t>
            </w:r>
          </w:p>
        </w:tc>
        <w:tc>
          <w:tcPr>
            <w:tcW w:w="2572" w:type="dxa"/>
            <w:gridSpan w:val="2"/>
            <w:shd w:val="clear" w:color="auto" w:fill="FFFFFF"/>
            <w:vAlign w:val="center"/>
          </w:tcPr>
          <w:p w:rsidR="00A23182" w:rsidRPr="00110AF4" w:rsidRDefault="00A23182" w:rsidP="007C6924">
            <w:pPr>
              <w:spacing w:line="40" w:lineRule="atLeast"/>
            </w:pPr>
            <w:r w:rsidRPr="00110AF4">
              <w:t>positive</w:t>
            </w:r>
          </w:p>
        </w:tc>
        <w:tc>
          <w:tcPr>
            <w:tcW w:w="2688" w:type="dxa"/>
            <w:gridSpan w:val="2"/>
            <w:shd w:val="clear" w:color="auto" w:fill="FFFFFF"/>
            <w:vAlign w:val="center"/>
          </w:tcPr>
          <w:p w:rsidR="00A23182" w:rsidRPr="00110AF4" w:rsidRDefault="00A23182" w:rsidP="007C6924">
            <w:pPr>
              <w:spacing w:line="40" w:lineRule="atLeast"/>
            </w:pPr>
            <w:r w:rsidRPr="00110AF4">
              <w:t>1</w:t>
            </w:r>
          </w:p>
        </w:tc>
        <w:tc>
          <w:tcPr>
            <w:tcW w:w="1440" w:type="dxa"/>
            <w:gridSpan w:val="2"/>
            <w:shd w:val="clear" w:color="auto" w:fill="FFFFFF"/>
            <w:vAlign w:val="center"/>
          </w:tcPr>
          <w:p w:rsidR="00A23182" w:rsidRPr="00110AF4" w:rsidRDefault="00A23182" w:rsidP="007C6924">
            <w:pPr>
              <w:spacing w:line="40" w:lineRule="atLeast"/>
            </w:pPr>
            <w:r w:rsidRPr="00110AF4">
              <w:t>6.7</w:t>
            </w:r>
          </w:p>
        </w:tc>
      </w:tr>
      <w:tr w:rsidR="00A23182" w:rsidRPr="00110AF4">
        <w:trPr>
          <w:cantSplit/>
          <w:tblHeader/>
          <w:jc w:val="center"/>
        </w:trPr>
        <w:tc>
          <w:tcPr>
            <w:tcW w:w="1515" w:type="dxa"/>
            <w:shd w:val="clear" w:color="auto" w:fill="FFFFFF"/>
            <w:vAlign w:val="center"/>
          </w:tcPr>
          <w:p w:rsidR="00A23182" w:rsidRPr="00110AF4" w:rsidRDefault="00A23182" w:rsidP="007C6924">
            <w:pPr>
              <w:spacing w:line="40" w:lineRule="atLeast"/>
            </w:pPr>
            <w:r w:rsidRPr="00110AF4">
              <w:t>Prenatal stress</w:t>
            </w:r>
          </w:p>
        </w:tc>
        <w:tc>
          <w:tcPr>
            <w:tcW w:w="2572" w:type="dxa"/>
            <w:gridSpan w:val="2"/>
            <w:shd w:val="clear" w:color="auto" w:fill="FFFFFF"/>
            <w:vAlign w:val="center"/>
          </w:tcPr>
          <w:p w:rsidR="00A23182" w:rsidRPr="00110AF4" w:rsidRDefault="00A23182" w:rsidP="007C6924">
            <w:pPr>
              <w:spacing w:line="40" w:lineRule="atLeast"/>
            </w:pPr>
            <w:r w:rsidRPr="00110AF4">
              <w:t>positive</w:t>
            </w:r>
          </w:p>
        </w:tc>
        <w:tc>
          <w:tcPr>
            <w:tcW w:w="2688" w:type="dxa"/>
            <w:gridSpan w:val="2"/>
            <w:shd w:val="clear" w:color="auto" w:fill="FFFFFF"/>
            <w:vAlign w:val="center"/>
          </w:tcPr>
          <w:p w:rsidR="00A23182" w:rsidRPr="00110AF4" w:rsidRDefault="00A23182" w:rsidP="007C6924">
            <w:pPr>
              <w:spacing w:line="40" w:lineRule="atLeast"/>
            </w:pPr>
            <w:r w:rsidRPr="00110AF4">
              <w:t>4</w:t>
            </w:r>
          </w:p>
        </w:tc>
        <w:tc>
          <w:tcPr>
            <w:tcW w:w="1440" w:type="dxa"/>
            <w:gridSpan w:val="2"/>
            <w:shd w:val="clear" w:color="auto" w:fill="FFFFFF"/>
            <w:vAlign w:val="center"/>
          </w:tcPr>
          <w:p w:rsidR="00A23182" w:rsidRPr="00110AF4" w:rsidRDefault="00A23182" w:rsidP="007C6924">
            <w:pPr>
              <w:spacing w:line="40" w:lineRule="atLeast"/>
            </w:pPr>
            <w:r w:rsidRPr="00110AF4">
              <w:t>26.7</w:t>
            </w:r>
          </w:p>
        </w:tc>
      </w:tr>
      <w:tr w:rsidR="00A23182" w:rsidRPr="00110AF4">
        <w:trPr>
          <w:cantSplit/>
          <w:tblHeader/>
          <w:jc w:val="center"/>
        </w:trPr>
        <w:tc>
          <w:tcPr>
            <w:tcW w:w="1515" w:type="dxa"/>
            <w:vMerge w:val="restart"/>
            <w:shd w:val="clear" w:color="auto" w:fill="FFFFFF"/>
            <w:vAlign w:val="center"/>
          </w:tcPr>
          <w:p w:rsidR="00A23182" w:rsidRPr="00110AF4" w:rsidRDefault="00A23182" w:rsidP="007C6924">
            <w:pPr>
              <w:spacing w:line="40" w:lineRule="atLeast"/>
            </w:pPr>
            <w:r w:rsidRPr="00110AF4">
              <w:t>Others</w:t>
            </w:r>
          </w:p>
        </w:tc>
        <w:tc>
          <w:tcPr>
            <w:tcW w:w="2572" w:type="dxa"/>
            <w:gridSpan w:val="2"/>
            <w:shd w:val="clear" w:color="auto" w:fill="FFFFFF"/>
            <w:vAlign w:val="center"/>
          </w:tcPr>
          <w:p w:rsidR="00A23182" w:rsidRPr="00110AF4" w:rsidRDefault="00A23182" w:rsidP="007C6924">
            <w:pPr>
              <w:spacing w:line="40" w:lineRule="atLeast"/>
            </w:pPr>
            <w:r w:rsidRPr="00110AF4">
              <w:t>Oligohydramnios</w:t>
            </w:r>
          </w:p>
        </w:tc>
        <w:tc>
          <w:tcPr>
            <w:tcW w:w="2688" w:type="dxa"/>
            <w:gridSpan w:val="2"/>
            <w:shd w:val="clear" w:color="auto" w:fill="FFFFFF"/>
            <w:vAlign w:val="center"/>
          </w:tcPr>
          <w:p w:rsidR="00A23182" w:rsidRPr="00110AF4" w:rsidRDefault="00A23182" w:rsidP="007C6924">
            <w:pPr>
              <w:spacing w:line="40" w:lineRule="atLeast"/>
            </w:pPr>
            <w:r w:rsidRPr="00110AF4">
              <w:t>2</w:t>
            </w:r>
          </w:p>
        </w:tc>
        <w:tc>
          <w:tcPr>
            <w:tcW w:w="1440" w:type="dxa"/>
            <w:gridSpan w:val="2"/>
            <w:shd w:val="clear" w:color="auto" w:fill="FFFFFF"/>
            <w:vAlign w:val="center"/>
          </w:tcPr>
          <w:p w:rsidR="00A23182" w:rsidRPr="00110AF4" w:rsidRDefault="00A23182" w:rsidP="007C6924">
            <w:pPr>
              <w:spacing w:line="40" w:lineRule="atLeast"/>
            </w:pPr>
            <w:r w:rsidRPr="00110AF4">
              <w:t>13.3</w:t>
            </w:r>
          </w:p>
        </w:tc>
      </w:tr>
      <w:tr w:rsidR="00A23182" w:rsidRPr="00110AF4">
        <w:trPr>
          <w:cantSplit/>
          <w:tblHeader/>
          <w:jc w:val="center"/>
        </w:trPr>
        <w:tc>
          <w:tcPr>
            <w:tcW w:w="1515" w:type="dxa"/>
            <w:vMerge/>
            <w:shd w:val="clear" w:color="auto" w:fill="FFFFFF"/>
            <w:vAlign w:val="center"/>
          </w:tcPr>
          <w:p w:rsidR="00A23182" w:rsidRPr="00110AF4" w:rsidRDefault="00A23182" w:rsidP="007C6924">
            <w:pPr>
              <w:spacing w:line="40" w:lineRule="atLeast"/>
            </w:pPr>
          </w:p>
        </w:tc>
        <w:tc>
          <w:tcPr>
            <w:tcW w:w="2572" w:type="dxa"/>
            <w:gridSpan w:val="2"/>
            <w:shd w:val="clear" w:color="auto" w:fill="FFFFFF"/>
            <w:vAlign w:val="center"/>
          </w:tcPr>
          <w:p w:rsidR="00A23182" w:rsidRPr="00110AF4" w:rsidRDefault="00A23182" w:rsidP="007C6924">
            <w:pPr>
              <w:spacing w:line="40" w:lineRule="atLeast"/>
            </w:pPr>
            <w:r w:rsidRPr="00110AF4">
              <w:t>Anemia</w:t>
            </w:r>
          </w:p>
        </w:tc>
        <w:tc>
          <w:tcPr>
            <w:tcW w:w="2688" w:type="dxa"/>
            <w:gridSpan w:val="2"/>
            <w:shd w:val="clear" w:color="auto" w:fill="FFFFFF"/>
            <w:vAlign w:val="center"/>
          </w:tcPr>
          <w:p w:rsidR="00A23182" w:rsidRPr="00110AF4" w:rsidRDefault="00A23182" w:rsidP="007C6924">
            <w:pPr>
              <w:spacing w:line="40" w:lineRule="atLeast"/>
            </w:pPr>
            <w:r w:rsidRPr="00110AF4">
              <w:t>1</w:t>
            </w:r>
          </w:p>
        </w:tc>
        <w:tc>
          <w:tcPr>
            <w:tcW w:w="1440" w:type="dxa"/>
            <w:gridSpan w:val="2"/>
            <w:shd w:val="clear" w:color="auto" w:fill="FFFFFF"/>
            <w:vAlign w:val="center"/>
          </w:tcPr>
          <w:p w:rsidR="00A23182" w:rsidRPr="00110AF4" w:rsidRDefault="00A23182" w:rsidP="007C6924">
            <w:pPr>
              <w:spacing w:line="40" w:lineRule="atLeast"/>
            </w:pPr>
            <w:r w:rsidRPr="00110AF4">
              <w:t>6.7</w:t>
            </w:r>
          </w:p>
        </w:tc>
      </w:tr>
      <w:tr w:rsidR="00A23182" w:rsidRPr="00110AF4">
        <w:trPr>
          <w:cantSplit/>
          <w:tblHeader/>
          <w:jc w:val="center"/>
        </w:trPr>
        <w:tc>
          <w:tcPr>
            <w:tcW w:w="1515" w:type="dxa"/>
            <w:vMerge/>
            <w:shd w:val="clear" w:color="auto" w:fill="FFFFFF"/>
            <w:vAlign w:val="center"/>
          </w:tcPr>
          <w:p w:rsidR="00A23182" w:rsidRPr="00110AF4" w:rsidRDefault="00A23182" w:rsidP="007C6924">
            <w:pPr>
              <w:spacing w:line="40" w:lineRule="atLeast"/>
            </w:pPr>
          </w:p>
        </w:tc>
        <w:tc>
          <w:tcPr>
            <w:tcW w:w="2572" w:type="dxa"/>
            <w:gridSpan w:val="2"/>
            <w:shd w:val="clear" w:color="auto" w:fill="FFFFFF"/>
            <w:vAlign w:val="center"/>
          </w:tcPr>
          <w:p w:rsidR="00A23182" w:rsidRPr="00110AF4" w:rsidRDefault="00A23182" w:rsidP="007C6924">
            <w:pPr>
              <w:spacing w:line="40" w:lineRule="atLeast"/>
            </w:pPr>
            <w:r w:rsidRPr="00110AF4">
              <w:t>Urticaria</w:t>
            </w:r>
          </w:p>
        </w:tc>
        <w:tc>
          <w:tcPr>
            <w:tcW w:w="2688" w:type="dxa"/>
            <w:gridSpan w:val="2"/>
            <w:shd w:val="clear" w:color="auto" w:fill="FFFFFF"/>
            <w:vAlign w:val="center"/>
          </w:tcPr>
          <w:p w:rsidR="00A23182" w:rsidRPr="00110AF4" w:rsidRDefault="00A23182" w:rsidP="007C6924">
            <w:pPr>
              <w:spacing w:line="40" w:lineRule="atLeast"/>
            </w:pPr>
            <w:r w:rsidRPr="00110AF4">
              <w:t>1</w:t>
            </w:r>
          </w:p>
        </w:tc>
        <w:tc>
          <w:tcPr>
            <w:tcW w:w="1440" w:type="dxa"/>
            <w:gridSpan w:val="2"/>
            <w:shd w:val="clear" w:color="auto" w:fill="FFFFFF"/>
            <w:vAlign w:val="center"/>
          </w:tcPr>
          <w:p w:rsidR="00A23182" w:rsidRPr="00110AF4" w:rsidRDefault="00A23182" w:rsidP="007C6924">
            <w:pPr>
              <w:spacing w:line="40" w:lineRule="atLeast"/>
            </w:pPr>
            <w:r w:rsidRPr="00110AF4">
              <w:t>6.7</w:t>
            </w:r>
          </w:p>
        </w:tc>
      </w:tr>
      <w:tr w:rsidR="00A23182" w:rsidRPr="00110AF4">
        <w:trPr>
          <w:cantSplit/>
          <w:trHeight w:val="148"/>
          <w:tblHeader/>
          <w:jc w:val="center"/>
        </w:trPr>
        <w:tc>
          <w:tcPr>
            <w:tcW w:w="1515" w:type="dxa"/>
            <w:vMerge w:val="restart"/>
            <w:shd w:val="clear" w:color="auto" w:fill="FFFFFF"/>
            <w:vAlign w:val="center"/>
          </w:tcPr>
          <w:p w:rsidR="00A23182" w:rsidRPr="00110AF4" w:rsidRDefault="00A23182" w:rsidP="007C6924">
            <w:pPr>
              <w:spacing w:line="40" w:lineRule="atLeast"/>
            </w:pPr>
            <w:r w:rsidRPr="00110AF4">
              <w:t>Motor Development</w:t>
            </w:r>
          </w:p>
        </w:tc>
        <w:tc>
          <w:tcPr>
            <w:tcW w:w="2572" w:type="dxa"/>
            <w:gridSpan w:val="2"/>
            <w:shd w:val="clear" w:color="auto" w:fill="FFFFFF"/>
            <w:vAlign w:val="center"/>
          </w:tcPr>
          <w:p w:rsidR="00A23182" w:rsidRPr="00110AF4" w:rsidRDefault="00A23182" w:rsidP="007C6924">
            <w:pPr>
              <w:spacing w:line="40" w:lineRule="atLeast"/>
            </w:pPr>
            <w:r w:rsidRPr="00110AF4">
              <w:t>Normal</w:t>
            </w:r>
          </w:p>
        </w:tc>
        <w:tc>
          <w:tcPr>
            <w:tcW w:w="2688" w:type="dxa"/>
            <w:gridSpan w:val="2"/>
            <w:shd w:val="clear" w:color="auto" w:fill="FFFFFF"/>
          </w:tcPr>
          <w:p w:rsidR="00A23182" w:rsidRPr="00110AF4" w:rsidRDefault="00A23182" w:rsidP="007C6924">
            <w:pPr>
              <w:spacing w:line="40" w:lineRule="atLeast"/>
            </w:pPr>
            <w:r w:rsidRPr="00110AF4">
              <w:t>12</w:t>
            </w:r>
          </w:p>
        </w:tc>
        <w:tc>
          <w:tcPr>
            <w:tcW w:w="1440" w:type="dxa"/>
            <w:gridSpan w:val="2"/>
            <w:shd w:val="clear" w:color="auto" w:fill="FFFFFF"/>
          </w:tcPr>
          <w:p w:rsidR="00A23182" w:rsidRPr="00110AF4" w:rsidRDefault="00A23182" w:rsidP="007C6924">
            <w:pPr>
              <w:spacing w:line="40" w:lineRule="atLeast"/>
            </w:pPr>
            <w:r w:rsidRPr="00110AF4">
              <w:t>80.0</w:t>
            </w:r>
          </w:p>
        </w:tc>
      </w:tr>
      <w:tr w:rsidR="00A23182" w:rsidRPr="00110AF4">
        <w:trPr>
          <w:cantSplit/>
          <w:trHeight w:val="147"/>
          <w:tblHeader/>
          <w:jc w:val="center"/>
        </w:trPr>
        <w:tc>
          <w:tcPr>
            <w:tcW w:w="1515" w:type="dxa"/>
            <w:vMerge/>
            <w:shd w:val="clear" w:color="auto" w:fill="FFFFFF"/>
            <w:vAlign w:val="center"/>
          </w:tcPr>
          <w:p w:rsidR="00A23182" w:rsidRPr="00110AF4" w:rsidRDefault="00A23182" w:rsidP="007C6924">
            <w:pPr>
              <w:spacing w:line="40" w:lineRule="atLeast"/>
            </w:pPr>
          </w:p>
        </w:tc>
        <w:tc>
          <w:tcPr>
            <w:tcW w:w="2572" w:type="dxa"/>
            <w:gridSpan w:val="2"/>
            <w:shd w:val="clear" w:color="auto" w:fill="FFFFFF"/>
            <w:vAlign w:val="center"/>
          </w:tcPr>
          <w:p w:rsidR="00A23182" w:rsidRPr="00110AF4" w:rsidRDefault="00A23182" w:rsidP="007C6924">
            <w:pPr>
              <w:spacing w:line="40" w:lineRule="atLeast"/>
            </w:pPr>
            <w:r w:rsidRPr="00110AF4">
              <w:t>Delay</w:t>
            </w:r>
          </w:p>
        </w:tc>
        <w:tc>
          <w:tcPr>
            <w:tcW w:w="2688" w:type="dxa"/>
            <w:gridSpan w:val="2"/>
            <w:shd w:val="clear" w:color="auto" w:fill="FFFFFF"/>
          </w:tcPr>
          <w:p w:rsidR="00A23182" w:rsidRPr="00110AF4" w:rsidRDefault="00A23182" w:rsidP="007C6924">
            <w:pPr>
              <w:spacing w:line="40" w:lineRule="atLeast"/>
            </w:pPr>
            <w:r w:rsidRPr="00110AF4">
              <w:t>3</w:t>
            </w:r>
          </w:p>
        </w:tc>
        <w:tc>
          <w:tcPr>
            <w:tcW w:w="1440" w:type="dxa"/>
            <w:gridSpan w:val="2"/>
            <w:shd w:val="clear" w:color="auto" w:fill="FFFFFF"/>
          </w:tcPr>
          <w:p w:rsidR="00A23182" w:rsidRPr="00110AF4" w:rsidRDefault="00A23182" w:rsidP="007C6924">
            <w:pPr>
              <w:spacing w:line="40" w:lineRule="atLeast"/>
            </w:pPr>
            <w:r w:rsidRPr="00110AF4">
              <w:t>20.0</w:t>
            </w:r>
          </w:p>
        </w:tc>
      </w:tr>
      <w:tr w:rsidR="00A23182" w:rsidRPr="00110AF4">
        <w:trPr>
          <w:cantSplit/>
          <w:trHeight w:val="485"/>
          <w:tblHeader/>
          <w:jc w:val="center"/>
        </w:trPr>
        <w:tc>
          <w:tcPr>
            <w:tcW w:w="1515" w:type="dxa"/>
            <w:vMerge w:val="restart"/>
            <w:shd w:val="clear" w:color="auto" w:fill="FFFFFF"/>
            <w:vAlign w:val="center"/>
          </w:tcPr>
          <w:p w:rsidR="00A23182" w:rsidRPr="00110AF4" w:rsidRDefault="00A23182" w:rsidP="007C6924">
            <w:pPr>
              <w:spacing w:line="40" w:lineRule="atLeast"/>
            </w:pPr>
            <w:r w:rsidRPr="00110AF4">
              <w:t>language development</w:t>
            </w:r>
          </w:p>
        </w:tc>
        <w:tc>
          <w:tcPr>
            <w:tcW w:w="2572" w:type="dxa"/>
            <w:gridSpan w:val="2"/>
            <w:shd w:val="clear" w:color="auto" w:fill="FFFFFF"/>
            <w:vAlign w:val="center"/>
          </w:tcPr>
          <w:p w:rsidR="00A23182" w:rsidRPr="00110AF4" w:rsidRDefault="00A23182" w:rsidP="007C6924">
            <w:pPr>
              <w:spacing w:line="40" w:lineRule="atLeast"/>
            </w:pPr>
            <w:r w:rsidRPr="00110AF4">
              <w:t>Normal</w:t>
            </w:r>
          </w:p>
        </w:tc>
        <w:tc>
          <w:tcPr>
            <w:tcW w:w="2688" w:type="dxa"/>
            <w:gridSpan w:val="2"/>
            <w:shd w:val="clear" w:color="auto" w:fill="FFFFFF"/>
          </w:tcPr>
          <w:p w:rsidR="00A23182" w:rsidRPr="00110AF4" w:rsidRDefault="00A23182" w:rsidP="007C6924">
            <w:pPr>
              <w:spacing w:line="40" w:lineRule="atLeast"/>
            </w:pPr>
            <w:r w:rsidRPr="00110AF4">
              <w:t>10</w:t>
            </w:r>
          </w:p>
        </w:tc>
        <w:tc>
          <w:tcPr>
            <w:tcW w:w="1440" w:type="dxa"/>
            <w:gridSpan w:val="2"/>
            <w:shd w:val="clear" w:color="auto" w:fill="FFFFFF"/>
          </w:tcPr>
          <w:p w:rsidR="00A23182" w:rsidRPr="00110AF4" w:rsidRDefault="00A23182" w:rsidP="007C6924">
            <w:pPr>
              <w:spacing w:line="40" w:lineRule="atLeast"/>
            </w:pPr>
            <w:r w:rsidRPr="00110AF4">
              <w:t>66.7</w:t>
            </w:r>
          </w:p>
        </w:tc>
      </w:tr>
      <w:tr w:rsidR="00A23182" w:rsidRPr="00110AF4">
        <w:trPr>
          <w:cantSplit/>
          <w:trHeight w:val="54"/>
          <w:tblHeader/>
          <w:jc w:val="center"/>
        </w:trPr>
        <w:tc>
          <w:tcPr>
            <w:tcW w:w="1515" w:type="dxa"/>
            <w:vMerge/>
            <w:shd w:val="clear" w:color="auto" w:fill="FFFFFF"/>
            <w:vAlign w:val="center"/>
          </w:tcPr>
          <w:p w:rsidR="00A23182" w:rsidRPr="00110AF4" w:rsidRDefault="00A23182" w:rsidP="007C6924">
            <w:pPr>
              <w:spacing w:line="40" w:lineRule="atLeast"/>
            </w:pPr>
          </w:p>
        </w:tc>
        <w:tc>
          <w:tcPr>
            <w:tcW w:w="2572" w:type="dxa"/>
            <w:gridSpan w:val="2"/>
            <w:shd w:val="clear" w:color="auto" w:fill="FFFFFF"/>
            <w:vAlign w:val="center"/>
          </w:tcPr>
          <w:p w:rsidR="00A23182" w:rsidRPr="00110AF4" w:rsidRDefault="00A23182" w:rsidP="007C6924">
            <w:pPr>
              <w:spacing w:line="40" w:lineRule="atLeast"/>
            </w:pPr>
            <w:r w:rsidRPr="00110AF4">
              <w:t>Delay</w:t>
            </w:r>
          </w:p>
        </w:tc>
        <w:tc>
          <w:tcPr>
            <w:tcW w:w="2688" w:type="dxa"/>
            <w:gridSpan w:val="2"/>
            <w:shd w:val="clear" w:color="auto" w:fill="FFFFFF"/>
          </w:tcPr>
          <w:p w:rsidR="00A23182" w:rsidRPr="00110AF4" w:rsidRDefault="00A23182" w:rsidP="007C6924">
            <w:pPr>
              <w:spacing w:line="40" w:lineRule="atLeast"/>
            </w:pPr>
            <w:r w:rsidRPr="00110AF4">
              <w:t>5</w:t>
            </w:r>
          </w:p>
        </w:tc>
        <w:tc>
          <w:tcPr>
            <w:tcW w:w="1440" w:type="dxa"/>
            <w:gridSpan w:val="2"/>
            <w:shd w:val="clear" w:color="auto" w:fill="FFFFFF"/>
          </w:tcPr>
          <w:p w:rsidR="00A23182" w:rsidRPr="00110AF4" w:rsidRDefault="00A23182" w:rsidP="007C6924">
            <w:pPr>
              <w:spacing w:line="40" w:lineRule="atLeast"/>
            </w:pPr>
            <w:r w:rsidRPr="00110AF4">
              <w:t>33.3</w:t>
            </w:r>
          </w:p>
        </w:tc>
      </w:tr>
    </w:tbl>
    <w:p w:rsidR="00A23182" w:rsidRPr="00110AF4" w:rsidRDefault="00A23182" w:rsidP="007C6924">
      <w:pPr>
        <w:autoSpaceDE w:val="0"/>
        <w:autoSpaceDN w:val="0"/>
        <w:adjustRightInd w:val="0"/>
        <w:spacing w:after="0" w:line="360" w:lineRule="auto"/>
        <w:ind w:firstLine="425"/>
        <w:jc w:val="both"/>
      </w:pPr>
      <w:r w:rsidRPr="00110AF4">
        <w:t>The mean IQ score was 100.25. Main complaint was hyperactivity and the most common ADHD type was the combined type. 6 patients had comorbid specific learning disability (Table 2).</w:t>
      </w:r>
    </w:p>
    <w:p w:rsidR="00A23182" w:rsidRPr="00110AF4" w:rsidRDefault="00A23182" w:rsidP="007C6924">
      <w:pPr>
        <w:spacing w:after="0" w:line="360" w:lineRule="auto"/>
        <w:ind w:firstLine="425"/>
        <w:jc w:val="both"/>
      </w:pPr>
      <w:r w:rsidRPr="00110AF4">
        <w:t>Table 2: Clinical data of study sample:</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009"/>
        <w:gridCol w:w="2910"/>
        <w:gridCol w:w="1691"/>
        <w:gridCol w:w="1586"/>
        <w:gridCol w:w="1207"/>
        <w:gridCol w:w="801"/>
      </w:tblGrid>
      <w:tr w:rsidR="00A23182" w:rsidRPr="00110AF4">
        <w:trPr>
          <w:cantSplit/>
          <w:trHeight w:val="511"/>
          <w:tblHeader/>
          <w:jc w:val="center"/>
        </w:trPr>
        <w:tc>
          <w:tcPr>
            <w:tcW w:w="1675" w:type="dxa"/>
            <w:shd w:val="clear" w:color="auto" w:fill="FFFFFF"/>
            <w:vAlign w:val="center"/>
          </w:tcPr>
          <w:p w:rsidR="00A23182" w:rsidRPr="00110AF4" w:rsidRDefault="00A23182" w:rsidP="007C6924">
            <w:pPr>
              <w:spacing w:line="40" w:lineRule="atLeast"/>
            </w:pPr>
          </w:p>
        </w:tc>
        <w:tc>
          <w:tcPr>
            <w:tcW w:w="2427" w:type="dxa"/>
            <w:shd w:val="clear" w:color="auto" w:fill="FFFFFF"/>
            <w:vAlign w:val="center"/>
          </w:tcPr>
          <w:p w:rsidR="00A23182" w:rsidRPr="00110AF4" w:rsidRDefault="00A23182" w:rsidP="007C6924">
            <w:pPr>
              <w:spacing w:line="40" w:lineRule="atLeast"/>
            </w:pPr>
            <w:r w:rsidRPr="00110AF4">
              <w:t>N</w:t>
            </w:r>
          </w:p>
        </w:tc>
        <w:tc>
          <w:tcPr>
            <w:tcW w:w="1410" w:type="dxa"/>
            <w:shd w:val="clear" w:color="auto" w:fill="FFFFFF"/>
            <w:vAlign w:val="center"/>
          </w:tcPr>
          <w:p w:rsidR="00A23182" w:rsidRPr="00110AF4" w:rsidRDefault="00A23182" w:rsidP="007C6924">
            <w:pPr>
              <w:spacing w:line="40" w:lineRule="atLeast"/>
            </w:pPr>
            <w:r w:rsidRPr="00110AF4">
              <w:t>Minimum</w:t>
            </w:r>
          </w:p>
        </w:tc>
        <w:tc>
          <w:tcPr>
            <w:tcW w:w="1323" w:type="dxa"/>
            <w:shd w:val="clear" w:color="auto" w:fill="FFFFFF"/>
            <w:vAlign w:val="center"/>
          </w:tcPr>
          <w:p w:rsidR="00A23182" w:rsidRPr="00110AF4" w:rsidRDefault="00A23182" w:rsidP="007C6924">
            <w:pPr>
              <w:spacing w:line="40" w:lineRule="atLeast"/>
            </w:pPr>
            <w:r w:rsidRPr="00110AF4">
              <w:t>Maximum</w:t>
            </w:r>
          </w:p>
        </w:tc>
        <w:tc>
          <w:tcPr>
            <w:tcW w:w="1007" w:type="dxa"/>
            <w:shd w:val="clear" w:color="auto" w:fill="FFFFFF"/>
            <w:vAlign w:val="center"/>
          </w:tcPr>
          <w:p w:rsidR="00A23182" w:rsidRPr="00110AF4" w:rsidRDefault="00A23182" w:rsidP="007C6924">
            <w:pPr>
              <w:spacing w:line="40" w:lineRule="atLeast"/>
            </w:pPr>
            <w:r w:rsidRPr="00110AF4">
              <w:t>Mean</w:t>
            </w:r>
          </w:p>
        </w:tc>
        <w:tc>
          <w:tcPr>
            <w:tcW w:w="668" w:type="dxa"/>
            <w:shd w:val="clear" w:color="auto" w:fill="FFFFFF"/>
            <w:vAlign w:val="center"/>
          </w:tcPr>
          <w:p w:rsidR="00A23182" w:rsidRPr="00110AF4" w:rsidRDefault="00A23182" w:rsidP="007C6924">
            <w:pPr>
              <w:spacing w:line="40" w:lineRule="atLeast"/>
            </w:pPr>
            <w:r w:rsidRPr="00110AF4">
              <w:t>SD</w:t>
            </w:r>
          </w:p>
        </w:tc>
      </w:tr>
      <w:tr w:rsidR="00A23182" w:rsidRPr="00110AF4">
        <w:trPr>
          <w:cantSplit/>
          <w:trHeight w:val="316"/>
          <w:tblHeader/>
          <w:jc w:val="center"/>
        </w:trPr>
        <w:tc>
          <w:tcPr>
            <w:tcW w:w="1675" w:type="dxa"/>
            <w:shd w:val="clear" w:color="auto" w:fill="FFFFFF"/>
            <w:vAlign w:val="center"/>
          </w:tcPr>
          <w:p w:rsidR="00A23182" w:rsidRPr="00110AF4" w:rsidRDefault="00A23182" w:rsidP="007C6924">
            <w:pPr>
              <w:spacing w:line="40" w:lineRule="atLeast"/>
            </w:pPr>
            <w:r w:rsidRPr="00110AF4">
              <w:t>IQ</w:t>
            </w:r>
          </w:p>
        </w:tc>
        <w:tc>
          <w:tcPr>
            <w:tcW w:w="2427" w:type="dxa"/>
            <w:shd w:val="clear" w:color="auto" w:fill="FFFFFF"/>
            <w:vAlign w:val="center"/>
          </w:tcPr>
          <w:p w:rsidR="00A23182" w:rsidRPr="00110AF4" w:rsidRDefault="00A23182" w:rsidP="007C6924">
            <w:pPr>
              <w:spacing w:line="40" w:lineRule="atLeast"/>
            </w:pPr>
            <w:r w:rsidRPr="00110AF4">
              <w:t>15</w:t>
            </w:r>
          </w:p>
        </w:tc>
        <w:tc>
          <w:tcPr>
            <w:tcW w:w="1410" w:type="dxa"/>
            <w:shd w:val="clear" w:color="auto" w:fill="FFFFFF"/>
            <w:vAlign w:val="center"/>
          </w:tcPr>
          <w:p w:rsidR="00A23182" w:rsidRPr="00110AF4" w:rsidRDefault="00A23182" w:rsidP="007C6924">
            <w:pPr>
              <w:spacing w:line="40" w:lineRule="atLeast"/>
            </w:pPr>
            <w:r w:rsidRPr="00110AF4">
              <w:t>91.00</w:t>
            </w:r>
          </w:p>
        </w:tc>
        <w:tc>
          <w:tcPr>
            <w:tcW w:w="1323" w:type="dxa"/>
            <w:shd w:val="clear" w:color="auto" w:fill="FFFFFF"/>
            <w:vAlign w:val="center"/>
          </w:tcPr>
          <w:p w:rsidR="00A23182" w:rsidRPr="00110AF4" w:rsidRDefault="00A23182" w:rsidP="007C6924">
            <w:pPr>
              <w:spacing w:line="40" w:lineRule="atLeast"/>
            </w:pPr>
            <w:r w:rsidRPr="00110AF4">
              <w:t>117.00</w:t>
            </w:r>
          </w:p>
        </w:tc>
        <w:tc>
          <w:tcPr>
            <w:tcW w:w="1007" w:type="dxa"/>
            <w:shd w:val="clear" w:color="auto" w:fill="FFFFFF"/>
            <w:vAlign w:val="center"/>
          </w:tcPr>
          <w:p w:rsidR="00A23182" w:rsidRPr="00110AF4" w:rsidRDefault="00A23182" w:rsidP="007C6924">
            <w:pPr>
              <w:spacing w:line="40" w:lineRule="atLeast"/>
            </w:pPr>
            <w:r w:rsidRPr="00110AF4">
              <w:t>100.25</w:t>
            </w:r>
          </w:p>
        </w:tc>
        <w:tc>
          <w:tcPr>
            <w:tcW w:w="668" w:type="dxa"/>
            <w:shd w:val="clear" w:color="auto" w:fill="FFFFFF"/>
            <w:vAlign w:val="center"/>
          </w:tcPr>
          <w:p w:rsidR="00A23182" w:rsidRPr="00110AF4" w:rsidRDefault="00A23182" w:rsidP="007C6924">
            <w:pPr>
              <w:spacing w:line="40" w:lineRule="atLeast"/>
            </w:pPr>
            <w:r w:rsidRPr="00110AF4">
              <w:t>6.96</w:t>
            </w:r>
          </w:p>
        </w:tc>
      </w:tr>
      <w:tr w:rsidR="00A23182" w:rsidRPr="00110AF4">
        <w:trPr>
          <w:cantSplit/>
          <w:trHeight w:val="316"/>
          <w:tblHeader/>
          <w:jc w:val="center"/>
        </w:trPr>
        <w:tc>
          <w:tcPr>
            <w:tcW w:w="4102" w:type="dxa"/>
            <w:gridSpan w:val="2"/>
            <w:shd w:val="clear" w:color="auto" w:fill="FFFFFF"/>
            <w:vAlign w:val="center"/>
          </w:tcPr>
          <w:p w:rsidR="00A23182" w:rsidRPr="00110AF4" w:rsidRDefault="00A23182" w:rsidP="007C6924">
            <w:pPr>
              <w:spacing w:line="40" w:lineRule="atLeast"/>
            </w:pPr>
          </w:p>
        </w:tc>
        <w:tc>
          <w:tcPr>
            <w:tcW w:w="2733" w:type="dxa"/>
            <w:gridSpan w:val="2"/>
            <w:shd w:val="clear" w:color="auto" w:fill="FFFFFF"/>
            <w:vAlign w:val="center"/>
          </w:tcPr>
          <w:p w:rsidR="00A23182" w:rsidRPr="00110AF4" w:rsidRDefault="00A23182" w:rsidP="007C6924">
            <w:pPr>
              <w:spacing w:line="40" w:lineRule="atLeast"/>
            </w:pPr>
            <w:r w:rsidRPr="00110AF4">
              <w:t>N</w:t>
            </w:r>
          </w:p>
        </w:tc>
        <w:tc>
          <w:tcPr>
            <w:tcW w:w="1675" w:type="dxa"/>
            <w:gridSpan w:val="2"/>
            <w:shd w:val="clear" w:color="auto" w:fill="FFFFFF"/>
            <w:vAlign w:val="center"/>
          </w:tcPr>
          <w:p w:rsidR="00A23182" w:rsidRPr="00110AF4" w:rsidRDefault="00A23182" w:rsidP="007C6924">
            <w:pPr>
              <w:spacing w:line="40" w:lineRule="atLeast"/>
            </w:pPr>
            <w:r w:rsidRPr="00110AF4">
              <w:t>%</w:t>
            </w:r>
          </w:p>
        </w:tc>
      </w:tr>
      <w:tr w:rsidR="00A23182" w:rsidRPr="00110AF4">
        <w:trPr>
          <w:cantSplit/>
          <w:trHeight w:val="316"/>
          <w:tblHeader/>
          <w:jc w:val="center"/>
        </w:trPr>
        <w:tc>
          <w:tcPr>
            <w:tcW w:w="1675" w:type="dxa"/>
            <w:vMerge w:val="restart"/>
            <w:shd w:val="clear" w:color="auto" w:fill="FFFFFF"/>
            <w:vAlign w:val="center"/>
          </w:tcPr>
          <w:p w:rsidR="00A23182" w:rsidRPr="00110AF4" w:rsidRDefault="00A23182" w:rsidP="007C6924">
            <w:pPr>
              <w:spacing w:line="40" w:lineRule="atLeast"/>
            </w:pPr>
            <w:r w:rsidRPr="00110AF4">
              <w:t>Complaint</w:t>
            </w:r>
          </w:p>
        </w:tc>
        <w:tc>
          <w:tcPr>
            <w:tcW w:w="2427" w:type="dxa"/>
            <w:shd w:val="clear" w:color="auto" w:fill="FFFFFF"/>
            <w:vAlign w:val="center"/>
          </w:tcPr>
          <w:p w:rsidR="00A23182" w:rsidRPr="00110AF4" w:rsidRDefault="00A23182" w:rsidP="007C6924">
            <w:pPr>
              <w:spacing w:line="40" w:lineRule="atLeast"/>
            </w:pPr>
            <w:r w:rsidRPr="00110AF4">
              <w:t>hyperactivity</w:t>
            </w:r>
          </w:p>
        </w:tc>
        <w:tc>
          <w:tcPr>
            <w:tcW w:w="2733" w:type="dxa"/>
            <w:gridSpan w:val="2"/>
            <w:shd w:val="clear" w:color="auto" w:fill="FFFFFF"/>
            <w:vAlign w:val="center"/>
          </w:tcPr>
          <w:p w:rsidR="00A23182" w:rsidRPr="00110AF4" w:rsidRDefault="00A23182" w:rsidP="007C6924">
            <w:pPr>
              <w:spacing w:line="40" w:lineRule="atLeast"/>
            </w:pPr>
            <w:r w:rsidRPr="00110AF4">
              <w:t>10</w:t>
            </w:r>
          </w:p>
        </w:tc>
        <w:tc>
          <w:tcPr>
            <w:tcW w:w="1675" w:type="dxa"/>
            <w:gridSpan w:val="2"/>
            <w:shd w:val="clear" w:color="auto" w:fill="FFFFFF"/>
            <w:vAlign w:val="center"/>
          </w:tcPr>
          <w:p w:rsidR="00A23182" w:rsidRPr="00110AF4" w:rsidRDefault="00A23182" w:rsidP="007C6924">
            <w:pPr>
              <w:spacing w:line="40" w:lineRule="atLeast"/>
            </w:pPr>
            <w:r w:rsidRPr="00110AF4">
              <w:t>66.7</w:t>
            </w:r>
          </w:p>
        </w:tc>
      </w:tr>
      <w:tr w:rsidR="00A23182" w:rsidRPr="00110AF4">
        <w:trPr>
          <w:cantSplit/>
          <w:trHeight w:val="142"/>
          <w:tblHeader/>
          <w:jc w:val="center"/>
        </w:trPr>
        <w:tc>
          <w:tcPr>
            <w:tcW w:w="1675" w:type="dxa"/>
            <w:vMerge/>
            <w:shd w:val="clear" w:color="auto" w:fill="FFFFFF"/>
            <w:vAlign w:val="center"/>
          </w:tcPr>
          <w:p w:rsidR="00A23182" w:rsidRPr="00110AF4" w:rsidRDefault="00A23182" w:rsidP="007C6924">
            <w:pPr>
              <w:spacing w:line="40" w:lineRule="atLeast"/>
            </w:pPr>
          </w:p>
        </w:tc>
        <w:tc>
          <w:tcPr>
            <w:tcW w:w="2427" w:type="dxa"/>
            <w:shd w:val="clear" w:color="auto" w:fill="FFFFFF"/>
            <w:vAlign w:val="center"/>
          </w:tcPr>
          <w:p w:rsidR="00A23182" w:rsidRPr="00110AF4" w:rsidRDefault="00A23182" w:rsidP="007C6924">
            <w:pPr>
              <w:spacing w:line="40" w:lineRule="atLeast"/>
            </w:pPr>
            <w:r w:rsidRPr="00110AF4">
              <w:t>Inattention</w:t>
            </w:r>
          </w:p>
        </w:tc>
        <w:tc>
          <w:tcPr>
            <w:tcW w:w="2733" w:type="dxa"/>
            <w:gridSpan w:val="2"/>
            <w:shd w:val="clear" w:color="auto" w:fill="FFFFFF"/>
            <w:vAlign w:val="center"/>
          </w:tcPr>
          <w:p w:rsidR="00A23182" w:rsidRPr="00110AF4" w:rsidRDefault="00A23182" w:rsidP="007C6924">
            <w:pPr>
              <w:spacing w:line="40" w:lineRule="atLeast"/>
            </w:pPr>
            <w:r w:rsidRPr="00110AF4">
              <w:t>2</w:t>
            </w:r>
          </w:p>
        </w:tc>
        <w:tc>
          <w:tcPr>
            <w:tcW w:w="1675" w:type="dxa"/>
            <w:gridSpan w:val="2"/>
            <w:shd w:val="clear" w:color="auto" w:fill="FFFFFF"/>
            <w:vAlign w:val="center"/>
          </w:tcPr>
          <w:p w:rsidR="00A23182" w:rsidRPr="00110AF4" w:rsidRDefault="00A23182" w:rsidP="007C6924">
            <w:pPr>
              <w:spacing w:line="40" w:lineRule="atLeast"/>
            </w:pPr>
            <w:r w:rsidRPr="00110AF4">
              <w:t>13.3</w:t>
            </w:r>
          </w:p>
        </w:tc>
      </w:tr>
      <w:tr w:rsidR="00A23182" w:rsidRPr="00110AF4">
        <w:trPr>
          <w:cantSplit/>
          <w:trHeight w:val="142"/>
          <w:tblHeader/>
          <w:jc w:val="center"/>
        </w:trPr>
        <w:tc>
          <w:tcPr>
            <w:tcW w:w="1675" w:type="dxa"/>
            <w:vMerge/>
            <w:shd w:val="clear" w:color="auto" w:fill="FFFFFF"/>
            <w:vAlign w:val="center"/>
          </w:tcPr>
          <w:p w:rsidR="00A23182" w:rsidRPr="00110AF4" w:rsidRDefault="00A23182" w:rsidP="007C6924">
            <w:pPr>
              <w:spacing w:line="40" w:lineRule="atLeast"/>
            </w:pPr>
          </w:p>
        </w:tc>
        <w:tc>
          <w:tcPr>
            <w:tcW w:w="2427" w:type="dxa"/>
            <w:shd w:val="clear" w:color="auto" w:fill="FFFFFF"/>
            <w:vAlign w:val="center"/>
          </w:tcPr>
          <w:p w:rsidR="00A23182" w:rsidRPr="00110AF4" w:rsidRDefault="00A23182" w:rsidP="007C6924">
            <w:pPr>
              <w:spacing w:line="40" w:lineRule="atLeast"/>
            </w:pPr>
            <w:r w:rsidRPr="00110AF4">
              <w:t>poor academic performance</w:t>
            </w:r>
          </w:p>
        </w:tc>
        <w:tc>
          <w:tcPr>
            <w:tcW w:w="2733" w:type="dxa"/>
            <w:gridSpan w:val="2"/>
            <w:shd w:val="clear" w:color="auto" w:fill="FFFFFF"/>
            <w:vAlign w:val="center"/>
          </w:tcPr>
          <w:p w:rsidR="00A23182" w:rsidRPr="00110AF4" w:rsidRDefault="00A23182" w:rsidP="007C6924">
            <w:pPr>
              <w:spacing w:line="40" w:lineRule="atLeast"/>
            </w:pPr>
            <w:r w:rsidRPr="00110AF4">
              <w:t>3</w:t>
            </w:r>
          </w:p>
        </w:tc>
        <w:tc>
          <w:tcPr>
            <w:tcW w:w="1675" w:type="dxa"/>
            <w:gridSpan w:val="2"/>
            <w:shd w:val="clear" w:color="auto" w:fill="FFFFFF"/>
            <w:vAlign w:val="center"/>
          </w:tcPr>
          <w:p w:rsidR="00A23182" w:rsidRPr="00110AF4" w:rsidRDefault="00A23182" w:rsidP="007C6924">
            <w:pPr>
              <w:spacing w:line="40" w:lineRule="atLeast"/>
            </w:pPr>
            <w:r w:rsidRPr="00110AF4">
              <w:t>20.0</w:t>
            </w:r>
          </w:p>
        </w:tc>
      </w:tr>
      <w:tr w:rsidR="00A23182" w:rsidRPr="00110AF4">
        <w:trPr>
          <w:cantSplit/>
          <w:trHeight w:val="316"/>
          <w:tblHeader/>
          <w:jc w:val="center"/>
        </w:trPr>
        <w:tc>
          <w:tcPr>
            <w:tcW w:w="1675" w:type="dxa"/>
            <w:vMerge w:val="restart"/>
            <w:shd w:val="clear" w:color="auto" w:fill="FFFFFF"/>
            <w:vAlign w:val="center"/>
          </w:tcPr>
          <w:p w:rsidR="00A23182" w:rsidRPr="00110AF4" w:rsidRDefault="00A23182" w:rsidP="007C6924">
            <w:pPr>
              <w:spacing w:line="40" w:lineRule="atLeast"/>
            </w:pPr>
            <w:r w:rsidRPr="00110AF4">
              <w:t>ADHD type</w:t>
            </w:r>
          </w:p>
        </w:tc>
        <w:tc>
          <w:tcPr>
            <w:tcW w:w="2427" w:type="dxa"/>
            <w:shd w:val="clear" w:color="auto" w:fill="FFFFFF"/>
            <w:vAlign w:val="center"/>
          </w:tcPr>
          <w:p w:rsidR="00A23182" w:rsidRPr="00110AF4" w:rsidRDefault="00A23182" w:rsidP="007C6924">
            <w:pPr>
              <w:spacing w:line="40" w:lineRule="atLeast"/>
            </w:pPr>
            <w:r w:rsidRPr="00110AF4">
              <w:t>Combined</w:t>
            </w:r>
          </w:p>
        </w:tc>
        <w:tc>
          <w:tcPr>
            <w:tcW w:w="2733" w:type="dxa"/>
            <w:gridSpan w:val="2"/>
            <w:shd w:val="clear" w:color="auto" w:fill="FFFFFF"/>
            <w:vAlign w:val="center"/>
          </w:tcPr>
          <w:p w:rsidR="00A23182" w:rsidRPr="00110AF4" w:rsidRDefault="00A23182" w:rsidP="007C6924">
            <w:pPr>
              <w:spacing w:line="40" w:lineRule="atLeast"/>
            </w:pPr>
            <w:r w:rsidRPr="00110AF4">
              <w:t>12</w:t>
            </w:r>
          </w:p>
        </w:tc>
        <w:tc>
          <w:tcPr>
            <w:tcW w:w="1675" w:type="dxa"/>
            <w:gridSpan w:val="2"/>
            <w:shd w:val="clear" w:color="auto" w:fill="FFFFFF"/>
            <w:vAlign w:val="center"/>
          </w:tcPr>
          <w:p w:rsidR="00A23182" w:rsidRPr="00110AF4" w:rsidRDefault="00A23182" w:rsidP="007C6924">
            <w:pPr>
              <w:spacing w:line="40" w:lineRule="atLeast"/>
            </w:pPr>
            <w:r w:rsidRPr="00110AF4">
              <w:t>80.0</w:t>
            </w:r>
          </w:p>
        </w:tc>
      </w:tr>
      <w:tr w:rsidR="00A23182" w:rsidRPr="00110AF4">
        <w:trPr>
          <w:cantSplit/>
          <w:trHeight w:val="142"/>
          <w:tblHeader/>
          <w:jc w:val="center"/>
        </w:trPr>
        <w:tc>
          <w:tcPr>
            <w:tcW w:w="1675" w:type="dxa"/>
            <w:vMerge/>
            <w:shd w:val="clear" w:color="auto" w:fill="FFFFFF"/>
            <w:vAlign w:val="center"/>
          </w:tcPr>
          <w:p w:rsidR="00A23182" w:rsidRPr="00110AF4" w:rsidRDefault="00A23182" w:rsidP="007C6924">
            <w:pPr>
              <w:spacing w:line="40" w:lineRule="atLeast"/>
            </w:pPr>
          </w:p>
        </w:tc>
        <w:tc>
          <w:tcPr>
            <w:tcW w:w="2427" w:type="dxa"/>
            <w:shd w:val="clear" w:color="auto" w:fill="FFFFFF"/>
            <w:vAlign w:val="center"/>
          </w:tcPr>
          <w:p w:rsidR="00A23182" w:rsidRPr="00110AF4" w:rsidRDefault="00A23182" w:rsidP="007C6924">
            <w:pPr>
              <w:spacing w:line="40" w:lineRule="atLeast"/>
            </w:pPr>
            <w:r w:rsidRPr="00110AF4">
              <w:t>hyperactive impulsive</w:t>
            </w:r>
          </w:p>
        </w:tc>
        <w:tc>
          <w:tcPr>
            <w:tcW w:w="2733" w:type="dxa"/>
            <w:gridSpan w:val="2"/>
            <w:shd w:val="clear" w:color="auto" w:fill="FFFFFF"/>
            <w:vAlign w:val="center"/>
          </w:tcPr>
          <w:p w:rsidR="00A23182" w:rsidRPr="00110AF4" w:rsidRDefault="00A23182" w:rsidP="007C6924">
            <w:pPr>
              <w:spacing w:line="40" w:lineRule="atLeast"/>
            </w:pPr>
            <w:r w:rsidRPr="00110AF4">
              <w:t>2</w:t>
            </w:r>
          </w:p>
        </w:tc>
        <w:tc>
          <w:tcPr>
            <w:tcW w:w="1675" w:type="dxa"/>
            <w:gridSpan w:val="2"/>
            <w:shd w:val="clear" w:color="auto" w:fill="FFFFFF"/>
            <w:vAlign w:val="center"/>
          </w:tcPr>
          <w:p w:rsidR="00A23182" w:rsidRPr="00110AF4" w:rsidRDefault="00A23182" w:rsidP="007C6924">
            <w:pPr>
              <w:spacing w:line="40" w:lineRule="atLeast"/>
            </w:pPr>
            <w:r w:rsidRPr="00110AF4">
              <w:t>13.3</w:t>
            </w:r>
          </w:p>
        </w:tc>
      </w:tr>
      <w:tr w:rsidR="00A23182" w:rsidRPr="00110AF4">
        <w:trPr>
          <w:cantSplit/>
          <w:trHeight w:val="142"/>
          <w:tblHeader/>
          <w:jc w:val="center"/>
        </w:trPr>
        <w:tc>
          <w:tcPr>
            <w:tcW w:w="1675" w:type="dxa"/>
            <w:vMerge/>
            <w:shd w:val="clear" w:color="auto" w:fill="FFFFFF"/>
            <w:vAlign w:val="center"/>
          </w:tcPr>
          <w:p w:rsidR="00A23182" w:rsidRPr="00110AF4" w:rsidRDefault="00A23182" w:rsidP="007C6924">
            <w:pPr>
              <w:spacing w:line="40" w:lineRule="atLeast"/>
            </w:pPr>
          </w:p>
        </w:tc>
        <w:tc>
          <w:tcPr>
            <w:tcW w:w="2427" w:type="dxa"/>
            <w:shd w:val="clear" w:color="auto" w:fill="FFFFFF"/>
            <w:vAlign w:val="center"/>
          </w:tcPr>
          <w:p w:rsidR="00A23182" w:rsidRPr="00110AF4" w:rsidRDefault="00A23182" w:rsidP="007C6924">
            <w:pPr>
              <w:spacing w:line="40" w:lineRule="atLeast"/>
            </w:pPr>
            <w:r w:rsidRPr="00110AF4">
              <w:t>Inattentive</w:t>
            </w:r>
          </w:p>
        </w:tc>
        <w:tc>
          <w:tcPr>
            <w:tcW w:w="2733" w:type="dxa"/>
            <w:gridSpan w:val="2"/>
            <w:shd w:val="clear" w:color="auto" w:fill="FFFFFF"/>
            <w:vAlign w:val="center"/>
          </w:tcPr>
          <w:p w:rsidR="00A23182" w:rsidRPr="00110AF4" w:rsidRDefault="00A23182" w:rsidP="007C6924">
            <w:pPr>
              <w:spacing w:line="40" w:lineRule="atLeast"/>
            </w:pPr>
            <w:r w:rsidRPr="00110AF4">
              <w:t>1</w:t>
            </w:r>
          </w:p>
        </w:tc>
        <w:tc>
          <w:tcPr>
            <w:tcW w:w="1675" w:type="dxa"/>
            <w:gridSpan w:val="2"/>
            <w:shd w:val="clear" w:color="auto" w:fill="FFFFFF"/>
            <w:vAlign w:val="center"/>
          </w:tcPr>
          <w:p w:rsidR="00A23182" w:rsidRPr="00110AF4" w:rsidRDefault="00A23182" w:rsidP="007C6924">
            <w:pPr>
              <w:spacing w:line="40" w:lineRule="atLeast"/>
            </w:pPr>
            <w:r w:rsidRPr="00110AF4">
              <w:t>6.7</w:t>
            </w:r>
          </w:p>
        </w:tc>
      </w:tr>
      <w:tr w:rsidR="00A23182" w:rsidRPr="00110AF4">
        <w:trPr>
          <w:cantSplit/>
          <w:trHeight w:val="316"/>
          <w:tblHeader/>
          <w:jc w:val="center"/>
        </w:trPr>
        <w:tc>
          <w:tcPr>
            <w:tcW w:w="1675" w:type="dxa"/>
            <w:vMerge w:val="restart"/>
            <w:shd w:val="clear" w:color="auto" w:fill="FFFFFF"/>
            <w:vAlign w:val="center"/>
          </w:tcPr>
          <w:p w:rsidR="00A23182" w:rsidRPr="00110AF4" w:rsidRDefault="00A23182" w:rsidP="007C6924">
            <w:pPr>
              <w:spacing w:line="40" w:lineRule="atLeast"/>
            </w:pPr>
            <w:r w:rsidRPr="00110AF4">
              <w:t>Specific learning disorder</w:t>
            </w:r>
          </w:p>
        </w:tc>
        <w:tc>
          <w:tcPr>
            <w:tcW w:w="2427" w:type="dxa"/>
            <w:shd w:val="clear" w:color="auto" w:fill="FFFFFF"/>
            <w:vAlign w:val="center"/>
          </w:tcPr>
          <w:p w:rsidR="00A23182" w:rsidRPr="00110AF4" w:rsidRDefault="00A23182" w:rsidP="007C6924">
            <w:pPr>
              <w:spacing w:line="40" w:lineRule="atLeast"/>
            </w:pPr>
            <w:r w:rsidRPr="00110AF4">
              <w:t>No</w:t>
            </w:r>
          </w:p>
        </w:tc>
        <w:tc>
          <w:tcPr>
            <w:tcW w:w="2733" w:type="dxa"/>
            <w:gridSpan w:val="2"/>
            <w:shd w:val="clear" w:color="auto" w:fill="FFFFFF"/>
            <w:vAlign w:val="center"/>
          </w:tcPr>
          <w:p w:rsidR="00A23182" w:rsidRPr="00110AF4" w:rsidRDefault="00A23182" w:rsidP="007C6924">
            <w:pPr>
              <w:spacing w:line="40" w:lineRule="atLeast"/>
            </w:pPr>
            <w:r w:rsidRPr="00110AF4">
              <w:t>9</w:t>
            </w:r>
          </w:p>
        </w:tc>
        <w:tc>
          <w:tcPr>
            <w:tcW w:w="1675" w:type="dxa"/>
            <w:gridSpan w:val="2"/>
            <w:shd w:val="clear" w:color="auto" w:fill="FFFFFF"/>
            <w:vAlign w:val="center"/>
          </w:tcPr>
          <w:p w:rsidR="00A23182" w:rsidRPr="00110AF4" w:rsidRDefault="00A23182" w:rsidP="007C6924">
            <w:pPr>
              <w:spacing w:line="40" w:lineRule="atLeast"/>
            </w:pPr>
            <w:r w:rsidRPr="00110AF4">
              <w:t>60.0</w:t>
            </w:r>
          </w:p>
        </w:tc>
      </w:tr>
      <w:tr w:rsidR="00A23182" w:rsidRPr="00110AF4">
        <w:trPr>
          <w:cantSplit/>
          <w:trHeight w:val="142"/>
          <w:tblHeader/>
          <w:jc w:val="center"/>
        </w:trPr>
        <w:tc>
          <w:tcPr>
            <w:tcW w:w="1675" w:type="dxa"/>
            <w:vMerge/>
            <w:shd w:val="clear" w:color="auto" w:fill="FFFFFF"/>
            <w:vAlign w:val="center"/>
          </w:tcPr>
          <w:p w:rsidR="00A23182" w:rsidRPr="00110AF4" w:rsidRDefault="00A23182" w:rsidP="007C6924">
            <w:pPr>
              <w:spacing w:line="40" w:lineRule="atLeast"/>
            </w:pPr>
          </w:p>
        </w:tc>
        <w:tc>
          <w:tcPr>
            <w:tcW w:w="2427" w:type="dxa"/>
            <w:shd w:val="clear" w:color="auto" w:fill="FFFFFF"/>
            <w:vAlign w:val="center"/>
          </w:tcPr>
          <w:p w:rsidR="00A23182" w:rsidRPr="00110AF4" w:rsidRDefault="00A23182" w:rsidP="007C6924">
            <w:pPr>
              <w:spacing w:line="40" w:lineRule="atLeast"/>
            </w:pPr>
            <w:r w:rsidRPr="00110AF4">
              <w:t>Yes</w:t>
            </w:r>
          </w:p>
        </w:tc>
        <w:tc>
          <w:tcPr>
            <w:tcW w:w="2733" w:type="dxa"/>
            <w:gridSpan w:val="2"/>
            <w:shd w:val="clear" w:color="auto" w:fill="FFFFFF"/>
            <w:vAlign w:val="center"/>
          </w:tcPr>
          <w:p w:rsidR="00A23182" w:rsidRPr="00110AF4" w:rsidRDefault="00A23182" w:rsidP="007C6924">
            <w:pPr>
              <w:spacing w:line="40" w:lineRule="atLeast"/>
            </w:pPr>
            <w:r w:rsidRPr="00110AF4">
              <w:t>6</w:t>
            </w:r>
          </w:p>
        </w:tc>
        <w:tc>
          <w:tcPr>
            <w:tcW w:w="1675" w:type="dxa"/>
            <w:gridSpan w:val="2"/>
            <w:shd w:val="clear" w:color="auto" w:fill="FFFFFF"/>
            <w:vAlign w:val="center"/>
          </w:tcPr>
          <w:p w:rsidR="00A23182" w:rsidRPr="00110AF4" w:rsidRDefault="00A23182" w:rsidP="007C6924">
            <w:pPr>
              <w:spacing w:line="40" w:lineRule="atLeast"/>
            </w:pPr>
            <w:r w:rsidRPr="00110AF4">
              <w:t>40.0</w:t>
            </w:r>
          </w:p>
        </w:tc>
      </w:tr>
    </w:tbl>
    <w:p w:rsidR="00A23182" w:rsidRPr="00110AF4" w:rsidRDefault="00A23182" w:rsidP="007C6924">
      <w:pPr>
        <w:autoSpaceDE w:val="0"/>
        <w:autoSpaceDN w:val="0"/>
        <w:adjustRightInd w:val="0"/>
        <w:spacing w:after="0" w:line="360" w:lineRule="auto"/>
        <w:ind w:firstLine="425"/>
        <w:jc w:val="both"/>
      </w:pPr>
      <w:r w:rsidRPr="00110AF4">
        <w:t>Before start of Carbamazepine treatment, ADHD scale IV was applied to all the cases. In each of the measured symptom domains (combined, inattention and hyperactivity) scores above 69 are considered high, 60-69 moderate and scores below 60 are considered low.</w:t>
      </w:r>
    </w:p>
    <w:p w:rsidR="00A23182" w:rsidRPr="00110AF4" w:rsidRDefault="00A23182" w:rsidP="007C6924">
      <w:pPr>
        <w:autoSpaceDE w:val="0"/>
        <w:autoSpaceDN w:val="0"/>
        <w:adjustRightInd w:val="0"/>
        <w:spacing w:after="0" w:line="360" w:lineRule="auto"/>
        <w:ind w:firstLine="425"/>
        <w:jc w:val="both"/>
      </w:pPr>
      <w:r w:rsidRPr="00110AF4">
        <w:t>During the first week of treatment, 2 cases dropped out for the side effect of sedation. After the end of 8th week, ADHD scale was repeated for the remaining 13 cases (Table 3).</w:t>
      </w:r>
    </w:p>
    <w:p w:rsidR="00A23182" w:rsidRPr="00110AF4" w:rsidRDefault="00A23182" w:rsidP="007C6924">
      <w:pPr>
        <w:autoSpaceDE w:val="0"/>
        <w:autoSpaceDN w:val="0"/>
        <w:adjustRightInd w:val="0"/>
        <w:spacing w:after="0" w:line="360" w:lineRule="auto"/>
        <w:ind w:firstLine="425"/>
        <w:jc w:val="both"/>
      </w:pPr>
      <w:r w:rsidRPr="00110AF4">
        <w:t>After exclusion of drop outs, 2 cases with high scores changed into moderate and 1 moderate changed into low score in the combined score. In the inattention scores; 2 cases changed from sever to moderate and 1 from sever to low symptoms. In the hyperactivity scores; 1 case changed from moderate to low symptoms.</w:t>
      </w:r>
    </w:p>
    <w:p w:rsidR="00A23182" w:rsidRPr="00110AF4" w:rsidRDefault="00A23182" w:rsidP="007C6924">
      <w:pPr>
        <w:autoSpaceDE w:val="0"/>
        <w:autoSpaceDN w:val="0"/>
        <w:adjustRightInd w:val="0"/>
        <w:spacing w:after="0" w:line="360" w:lineRule="auto"/>
        <w:ind w:firstLine="425"/>
        <w:jc w:val="both"/>
      </w:pPr>
      <w:r w:rsidRPr="00110AF4">
        <w:t>There was significant improvement of mean ADHD RS scores in the combined and inattention domains while improvement in the hyperactivity domain was not significant. (Table 4, Figures 1,2,3)</w:t>
      </w:r>
    </w:p>
    <w:p w:rsidR="00A23182" w:rsidRPr="00110AF4" w:rsidRDefault="00A23182" w:rsidP="007C6924">
      <w:pPr>
        <w:autoSpaceDE w:val="0"/>
        <w:autoSpaceDN w:val="0"/>
        <w:adjustRightInd w:val="0"/>
        <w:spacing w:after="0" w:line="360" w:lineRule="auto"/>
        <w:ind w:firstLine="425"/>
        <w:jc w:val="both"/>
      </w:pPr>
      <w:r w:rsidRPr="00110AF4">
        <w:t>Table 3: Scores of ADHD rating scale before and after Carbamazepine treatment</w:t>
      </w:r>
    </w:p>
    <w:tbl>
      <w:tblPr>
        <w:tblW w:w="1020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tblPr>
      <w:tblGrid>
        <w:gridCol w:w="2020"/>
        <w:gridCol w:w="1594"/>
        <w:gridCol w:w="1169"/>
        <w:gridCol w:w="1807"/>
        <w:gridCol w:w="1807"/>
        <w:gridCol w:w="1807"/>
      </w:tblGrid>
      <w:tr w:rsidR="00A23182" w:rsidRPr="00110AF4">
        <w:trPr>
          <w:cantSplit/>
          <w:tblHeader/>
          <w:jc w:val="center"/>
        </w:trPr>
        <w:tc>
          <w:tcPr>
            <w:tcW w:w="3060" w:type="dxa"/>
            <w:gridSpan w:val="2"/>
            <w:shd w:val="clear" w:color="auto" w:fill="FFFFFF"/>
            <w:vAlign w:val="center"/>
          </w:tcPr>
          <w:p w:rsidR="00A23182" w:rsidRPr="00110AF4" w:rsidRDefault="00A23182" w:rsidP="007C6924">
            <w:pPr>
              <w:spacing w:line="40" w:lineRule="atLeast"/>
            </w:pPr>
          </w:p>
        </w:tc>
        <w:tc>
          <w:tcPr>
            <w:tcW w:w="2520" w:type="dxa"/>
            <w:gridSpan w:val="2"/>
            <w:shd w:val="clear" w:color="auto" w:fill="FFFFFF"/>
            <w:vAlign w:val="bottom"/>
          </w:tcPr>
          <w:p w:rsidR="00A23182" w:rsidRPr="00110AF4" w:rsidRDefault="00A23182" w:rsidP="007C6924">
            <w:pPr>
              <w:spacing w:line="40" w:lineRule="atLeast"/>
            </w:pPr>
            <w:r w:rsidRPr="00110AF4">
              <w:t>Before</w:t>
            </w:r>
          </w:p>
        </w:tc>
        <w:tc>
          <w:tcPr>
            <w:tcW w:w="3060" w:type="dxa"/>
            <w:gridSpan w:val="2"/>
            <w:shd w:val="clear" w:color="auto" w:fill="FFFFFF"/>
          </w:tcPr>
          <w:p w:rsidR="00A23182" w:rsidRPr="00110AF4" w:rsidRDefault="00A23182" w:rsidP="007C6924">
            <w:pPr>
              <w:spacing w:line="40" w:lineRule="atLeast"/>
            </w:pPr>
            <w:r w:rsidRPr="00110AF4">
              <w:t>After</w:t>
            </w:r>
          </w:p>
        </w:tc>
      </w:tr>
      <w:tr w:rsidR="00A23182" w:rsidRPr="00110AF4">
        <w:trPr>
          <w:cantSplit/>
          <w:tblHeader/>
          <w:jc w:val="center"/>
        </w:trPr>
        <w:tc>
          <w:tcPr>
            <w:tcW w:w="3060" w:type="dxa"/>
            <w:gridSpan w:val="2"/>
            <w:shd w:val="clear" w:color="auto" w:fill="FFFFFF"/>
            <w:vAlign w:val="center"/>
          </w:tcPr>
          <w:p w:rsidR="00A23182" w:rsidRPr="00110AF4" w:rsidRDefault="00A23182" w:rsidP="007C6924">
            <w:pPr>
              <w:spacing w:line="40" w:lineRule="atLeast"/>
            </w:pPr>
          </w:p>
        </w:tc>
        <w:tc>
          <w:tcPr>
            <w:tcW w:w="990" w:type="dxa"/>
            <w:shd w:val="clear" w:color="auto" w:fill="FFFFFF"/>
            <w:vAlign w:val="bottom"/>
          </w:tcPr>
          <w:p w:rsidR="00A23182" w:rsidRPr="00110AF4" w:rsidRDefault="00A23182" w:rsidP="007C6924">
            <w:pPr>
              <w:spacing w:line="40" w:lineRule="atLeast"/>
            </w:pPr>
            <w:r w:rsidRPr="00110AF4">
              <w:t>N</w:t>
            </w:r>
          </w:p>
        </w:tc>
        <w:tc>
          <w:tcPr>
            <w:tcW w:w="1530" w:type="dxa"/>
            <w:shd w:val="clear" w:color="auto" w:fill="FFFFFF"/>
            <w:vAlign w:val="bottom"/>
          </w:tcPr>
          <w:p w:rsidR="00A23182" w:rsidRPr="00110AF4" w:rsidRDefault="00A23182" w:rsidP="007C6924">
            <w:pPr>
              <w:spacing w:line="40" w:lineRule="atLeast"/>
            </w:pPr>
            <w:r w:rsidRPr="00110AF4">
              <w:t>%</w:t>
            </w:r>
          </w:p>
        </w:tc>
        <w:tc>
          <w:tcPr>
            <w:tcW w:w="1530" w:type="dxa"/>
            <w:shd w:val="clear" w:color="auto" w:fill="FFFFFF"/>
          </w:tcPr>
          <w:p w:rsidR="00A23182" w:rsidRPr="00110AF4" w:rsidRDefault="00A23182" w:rsidP="007C6924">
            <w:pPr>
              <w:spacing w:line="40" w:lineRule="atLeast"/>
            </w:pPr>
            <w:r w:rsidRPr="00110AF4">
              <w:t>N</w:t>
            </w:r>
          </w:p>
        </w:tc>
        <w:tc>
          <w:tcPr>
            <w:tcW w:w="1530" w:type="dxa"/>
            <w:shd w:val="clear" w:color="auto" w:fill="FFFFFF"/>
          </w:tcPr>
          <w:p w:rsidR="00A23182" w:rsidRPr="00110AF4" w:rsidRDefault="00A23182" w:rsidP="007C6924">
            <w:pPr>
              <w:spacing w:line="40" w:lineRule="atLeast"/>
            </w:pPr>
            <w:r w:rsidRPr="00110AF4">
              <w:t>%</w:t>
            </w:r>
          </w:p>
        </w:tc>
      </w:tr>
      <w:tr w:rsidR="00A23182" w:rsidRPr="00110AF4">
        <w:trPr>
          <w:cantSplit/>
          <w:tblHeader/>
          <w:jc w:val="center"/>
        </w:trPr>
        <w:tc>
          <w:tcPr>
            <w:tcW w:w="1710" w:type="dxa"/>
            <w:vMerge w:val="restart"/>
            <w:shd w:val="clear" w:color="auto" w:fill="FFFFFF"/>
          </w:tcPr>
          <w:p w:rsidR="00A23182" w:rsidRPr="00110AF4" w:rsidRDefault="00A23182" w:rsidP="007C6924">
            <w:pPr>
              <w:spacing w:line="40" w:lineRule="atLeast"/>
            </w:pPr>
            <w:r w:rsidRPr="00110AF4">
              <w:t>Combined</w:t>
            </w:r>
          </w:p>
        </w:tc>
        <w:tc>
          <w:tcPr>
            <w:tcW w:w="1350" w:type="dxa"/>
            <w:shd w:val="clear" w:color="auto" w:fill="FFFFFF"/>
          </w:tcPr>
          <w:p w:rsidR="00A23182" w:rsidRPr="00110AF4" w:rsidRDefault="00A23182" w:rsidP="007C6924">
            <w:pPr>
              <w:spacing w:line="40" w:lineRule="atLeast"/>
            </w:pPr>
            <w:r w:rsidRPr="00110AF4">
              <w:t>Low</w:t>
            </w:r>
          </w:p>
        </w:tc>
        <w:tc>
          <w:tcPr>
            <w:tcW w:w="990" w:type="dxa"/>
            <w:shd w:val="clear" w:color="auto" w:fill="FFFFFF"/>
          </w:tcPr>
          <w:p w:rsidR="00A23182" w:rsidRPr="00110AF4" w:rsidRDefault="00A23182" w:rsidP="007C6924">
            <w:pPr>
              <w:spacing w:line="40" w:lineRule="atLeast"/>
            </w:pPr>
            <w:r w:rsidRPr="00110AF4">
              <w:t>1</w:t>
            </w:r>
          </w:p>
        </w:tc>
        <w:tc>
          <w:tcPr>
            <w:tcW w:w="1530" w:type="dxa"/>
            <w:shd w:val="clear" w:color="auto" w:fill="FFFFFF"/>
          </w:tcPr>
          <w:p w:rsidR="00A23182" w:rsidRPr="00110AF4" w:rsidRDefault="00A23182" w:rsidP="007C6924">
            <w:pPr>
              <w:spacing w:line="40" w:lineRule="atLeast"/>
            </w:pPr>
            <w:r w:rsidRPr="00110AF4">
              <w:t>6.7%</w:t>
            </w:r>
          </w:p>
        </w:tc>
        <w:tc>
          <w:tcPr>
            <w:tcW w:w="1530" w:type="dxa"/>
            <w:shd w:val="clear" w:color="auto" w:fill="FFFFFF"/>
          </w:tcPr>
          <w:p w:rsidR="00A23182" w:rsidRPr="00110AF4" w:rsidRDefault="00A23182" w:rsidP="007C6924">
            <w:pPr>
              <w:spacing w:line="40" w:lineRule="atLeast"/>
            </w:pPr>
            <w:r w:rsidRPr="00110AF4">
              <w:t>1</w:t>
            </w:r>
          </w:p>
        </w:tc>
        <w:tc>
          <w:tcPr>
            <w:tcW w:w="1530" w:type="dxa"/>
            <w:shd w:val="clear" w:color="auto" w:fill="FFFFFF"/>
          </w:tcPr>
          <w:p w:rsidR="00A23182" w:rsidRPr="00110AF4" w:rsidRDefault="00A23182" w:rsidP="007C6924">
            <w:pPr>
              <w:spacing w:line="40" w:lineRule="atLeast"/>
            </w:pPr>
            <w:r w:rsidRPr="00110AF4">
              <w:t>7.7%</w:t>
            </w:r>
          </w:p>
        </w:tc>
      </w:tr>
      <w:tr w:rsidR="00A23182" w:rsidRPr="00110AF4">
        <w:trPr>
          <w:cantSplit/>
          <w:tblHeader/>
          <w:jc w:val="center"/>
        </w:trPr>
        <w:tc>
          <w:tcPr>
            <w:tcW w:w="1710" w:type="dxa"/>
            <w:vMerge/>
            <w:shd w:val="clear" w:color="auto" w:fill="FFFFFF"/>
          </w:tcPr>
          <w:p w:rsidR="00A23182" w:rsidRPr="00110AF4" w:rsidRDefault="00A23182" w:rsidP="007C6924">
            <w:pPr>
              <w:spacing w:line="40" w:lineRule="atLeast"/>
            </w:pPr>
          </w:p>
        </w:tc>
        <w:tc>
          <w:tcPr>
            <w:tcW w:w="1350" w:type="dxa"/>
            <w:shd w:val="clear" w:color="auto" w:fill="FFFFFF"/>
          </w:tcPr>
          <w:p w:rsidR="00A23182" w:rsidRPr="00110AF4" w:rsidRDefault="00A23182" w:rsidP="007C6924">
            <w:pPr>
              <w:spacing w:line="40" w:lineRule="atLeast"/>
            </w:pPr>
            <w:r w:rsidRPr="00110AF4">
              <w:t>moderate</w:t>
            </w:r>
          </w:p>
        </w:tc>
        <w:tc>
          <w:tcPr>
            <w:tcW w:w="990" w:type="dxa"/>
            <w:shd w:val="clear" w:color="auto" w:fill="FFFFFF"/>
          </w:tcPr>
          <w:p w:rsidR="00A23182" w:rsidRPr="00110AF4" w:rsidRDefault="00A23182" w:rsidP="007C6924">
            <w:pPr>
              <w:spacing w:line="40" w:lineRule="atLeast"/>
            </w:pPr>
            <w:r w:rsidRPr="00110AF4">
              <w:t>3</w:t>
            </w:r>
          </w:p>
        </w:tc>
        <w:tc>
          <w:tcPr>
            <w:tcW w:w="1530" w:type="dxa"/>
            <w:shd w:val="clear" w:color="auto" w:fill="FFFFFF"/>
          </w:tcPr>
          <w:p w:rsidR="00A23182" w:rsidRPr="00110AF4" w:rsidRDefault="00A23182" w:rsidP="007C6924">
            <w:pPr>
              <w:spacing w:line="40" w:lineRule="atLeast"/>
            </w:pPr>
            <w:r w:rsidRPr="00110AF4">
              <w:t>20.0%</w:t>
            </w:r>
          </w:p>
        </w:tc>
        <w:tc>
          <w:tcPr>
            <w:tcW w:w="1530" w:type="dxa"/>
            <w:shd w:val="clear" w:color="auto" w:fill="FFFFFF"/>
          </w:tcPr>
          <w:p w:rsidR="00A23182" w:rsidRPr="00110AF4" w:rsidRDefault="00A23182" w:rsidP="007C6924">
            <w:pPr>
              <w:spacing w:line="40" w:lineRule="atLeast"/>
            </w:pPr>
            <w:r w:rsidRPr="00110AF4">
              <w:t>4</w:t>
            </w:r>
          </w:p>
        </w:tc>
        <w:tc>
          <w:tcPr>
            <w:tcW w:w="1530" w:type="dxa"/>
            <w:shd w:val="clear" w:color="auto" w:fill="FFFFFF"/>
          </w:tcPr>
          <w:p w:rsidR="00A23182" w:rsidRPr="00110AF4" w:rsidRDefault="00A23182" w:rsidP="007C6924">
            <w:pPr>
              <w:spacing w:line="40" w:lineRule="atLeast"/>
            </w:pPr>
            <w:r w:rsidRPr="00110AF4">
              <w:t>30.8%</w:t>
            </w:r>
          </w:p>
        </w:tc>
      </w:tr>
      <w:tr w:rsidR="00A23182" w:rsidRPr="00110AF4">
        <w:trPr>
          <w:cantSplit/>
          <w:tblHeader/>
          <w:jc w:val="center"/>
        </w:trPr>
        <w:tc>
          <w:tcPr>
            <w:tcW w:w="1710" w:type="dxa"/>
            <w:vMerge/>
            <w:shd w:val="clear" w:color="auto" w:fill="FFFFFF"/>
          </w:tcPr>
          <w:p w:rsidR="00A23182" w:rsidRPr="00110AF4" w:rsidRDefault="00A23182" w:rsidP="007C6924">
            <w:pPr>
              <w:spacing w:line="40" w:lineRule="atLeast"/>
            </w:pPr>
          </w:p>
        </w:tc>
        <w:tc>
          <w:tcPr>
            <w:tcW w:w="1350" w:type="dxa"/>
            <w:shd w:val="clear" w:color="auto" w:fill="FFFFFF"/>
          </w:tcPr>
          <w:p w:rsidR="00A23182" w:rsidRPr="00110AF4" w:rsidRDefault="00A23182" w:rsidP="007C6924">
            <w:pPr>
              <w:spacing w:line="40" w:lineRule="atLeast"/>
            </w:pPr>
            <w:r w:rsidRPr="00110AF4">
              <w:t>High</w:t>
            </w:r>
          </w:p>
        </w:tc>
        <w:tc>
          <w:tcPr>
            <w:tcW w:w="990" w:type="dxa"/>
            <w:shd w:val="clear" w:color="auto" w:fill="FFFFFF"/>
          </w:tcPr>
          <w:p w:rsidR="00A23182" w:rsidRPr="00110AF4" w:rsidRDefault="00A23182" w:rsidP="007C6924">
            <w:pPr>
              <w:spacing w:line="40" w:lineRule="atLeast"/>
            </w:pPr>
            <w:r w:rsidRPr="00110AF4">
              <w:t>11</w:t>
            </w:r>
          </w:p>
        </w:tc>
        <w:tc>
          <w:tcPr>
            <w:tcW w:w="1530" w:type="dxa"/>
            <w:shd w:val="clear" w:color="auto" w:fill="FFFFFF"/>
          </w:tcPr>
          <w:p w:rsidR="00A23182" w:rsidRPr="00110AF4" w:rsidRDefault="00A23182" w:rsidP="007C6924">
            <w:pPr>
              <w:spacing w:line="40" w:lineRule="atLeast"/>
            </w:pPr>
            <w:r w:rsidRPr="00110AF4">
              <w:t>73.3%</w:t>
            </w:r>
          </w:p>
        </w:tc>
        <w:tc>
          <w:tcPr>
            <w:tcW w:w="1530" w:type="dxa"/>
            <w:shd w:val="clear" w:color="auto" w:fill="FFFFFF"/>
          </w:tcPr>
          <w:p w:rsidR="00A23182" w:rsidRPr="00110AF4" w:rsidRDefault="00A23182" w:rsidP="007C6924">
            <w:pPr>
              <w:spacing w:line="40" w:lineRule="atLeast"/>
            </w:pPr>
            <w:r w:rsidRPr="00110AF4">
              <w:t>8</w:t>
            </w:r>
          </w:p>
        </w:tc>
        <w:tc>
          <w:tcPr>
            <w:tcW w:w="1530" w:type="dxa"/>
            <w:shd w:val="clear" w:color="auto" w:fill="FFFFFF"/>
          </w:tcPr>
          <w:p w:rsidR="00A23182" w:rsidRPr="00110AF4" w:rsidRDefault="00A23182" w:rsidP="007C6924">
            <w:pPr>
              <w:spacing w:line="40" w:lineRule="atLeast"/>
            </w:pPr>
            <w:r w:rsidRPr="00110AF4">
              <w:t>61.5%</w:t>
            </w:r>
          </w:p>
        </w:tc>
      </w:tr>
      <w:tr w:rsidR="00A23182" w:rsidRPr="00110AF4">
        <w:trPr>
          <w:cantSplit/>
          <w:tblHeader/>
          <w:jc w:val="center"/>
        </w:trPr>
        <w:tc>
          <w:tcPr>
            <w:tcW w:w="1710" w:type="dxa"/>
            <w:vMerge w:val="restart"/>
            <w:shd w:val="clear" w:color="auto" w:fill="FFFFFF"/>
          </w:tcPr>
          <w:p w:rsidR="00A23182" w:rsidRPr="00110AF4" w:rsidRDefault="00A23182" w:rsidP="007C6924">
            <w:pPr>
              <w:spacing w:line="40" w:lineRule="atLeast"/>
            </w:pPr>
            <w:r w:rsidRPr="00110AF4">
              <w:t xml:space="preserve">Inattention </w:t>
            </w:r>
          </w:p>
        </w:tc>
        <w:tc>
          <w:tcPr>
            <w:tcW w:w="1350" w:type="dxa"/>
            <w:shd w:val="clear" w:color="auto" w:fill="FFFFFF"/>
          </w:tcPr>
          <w:p w:rsidR="00A23182" w:rsidRPr="00110AF4" w:rsidRDefault="00A23182" w:rsidP="007C6924">
            <w:pPr>
              <w:spacing w:line="40" w:lineRule="atLeast"/>
            </w:pPr>
            <w:r w:rsidRPr="00110AF4">
              <w:t>low</w:t>
            </w:r>
          </w:p>
        </w:tc>
        <w:tc>
          <w:tcPr>
            <w:tcW w:w="990" w:type="dxa"/>
            <w:shd w:val="clear" w:color="auto" w:fill="FFFFFF"/>
          </w:tcPr>
          <w:p w:rsidR="00A23182" w:rsidRPr="00110AF4" w:rsidRDefault="00A23182" w:rsidP="007C6924">
            <w:pPr>
              <w:spacing w:line="40" w:lineRule="atLeast"/>
            </w:pPr>
            <w:r w:rsidRPr="00110AF4">
              <w:t>2</w:t>
            </w:r>
          </w:p>
        </w:tc>
        <w:tc>
          <w:tcPr>
            <w:tcW w:w="1530" w:type="dxa"/>
            <w:shd w:val="clear" w:color="auto" w:fill="FFFFFF"/>
          </w:tcPr>
          <w:p w:rsidR="00A23182" w:rsidRPr="00110AF4" w:rsidRDefault="00A23182" w:rsidP="007C6924">
            <w:pPr>
              <w:spacing w:line="40" w:lineRule="atLeast"/>
            </w:pPr>
            <w:r w:rsidRPr="00110AF4">
              <w:t>13.3%</w:t>
            </w:r>
          </w:p>
        </w:tc>
        <w:tc>
          <w:tcPr>
            <w:tcW w:w="1530" w:type="dxa"/>
            <w:shd w:val="clear" w:color="auto" w:fill="FFFFFF"/>
          </w:tcPr>
          <w:p w:rsidR="00A23182" w:rsidRPr="00110AF4" w:rsidRDefault="00A23182" w:rsidP="007C6924">
            <w:pPr>
              <w:spacing w:line="40" w:lineRule="atLeast"/>
            </w:pPr>
            <w:r w:rsidRPr="00110AF4">
              <w:t>2</w:t>
            </w:r>
          </w:p>
        </w:tc>
        <w:tc>
          <w:tcPr>
            <w:tcW w:w="1530" w:type="dxa"/>
            <w:shd w:val="clear" w:color="auto" w:fill="FFFFFF"/>
          </w:tcPr>
          <w:p w:rsidR="00A23182" w:rsidRPr="00110AF4" w:rsidRDefault="00A23182" w:rsidP="007C6924">
            <w:pPr>
              <w:spacing w:line="40" w:lineRule="atLeast"/>
            </w:pPr>
            <w:r w:rsidRPr="00110AF4">
              <w:t>15.4%</w:t>
            </w:r>
          </w:p>
        </w:tc>
      </w:tr>
      <w:tr w:rsidR="00A23182" w:rsidRPr="00110AF4">
        <w:trPr>
          <w:cantSplit/>
          <w:tblHeader/>
          <w:jc w:val="center"/>
        </w:trPr>
        <w:tc>
          <w:tcPr>
            <w:tcW w:w="1710" w:type="dxa"/>
            <w:vMerge/>
            <w:shd w:val="clear" w:color="auto" w:fill="FFFFFF"/>
          </w:tcPr>
          <w:p w:rsidR="00A23182" w:rsidRPr="00110AF4" w:rsidRDefault="00A23182" w:rsidP="007C6924">
            <w:pPr>
              <w:spacing w:line="40" w:lineRule="atLeast"/>
            </w:pPr>
          </w:p>
        </w:tc>
        <w:tc>
          <w:tcPr>
            <w:tcW w:w="1350" w:type="dxa"/>
            <w:shd w:val="clear" w:color="auto" w:fill="FFFFFF"/>
          </w:tcPr>
          <w:p w:rsidR="00A23182" w:rsidRPr="00110AF4" w:rsidRDefault="00A23182" w:rsidP="007C6924">
            <w:pPr>
              <w:spacing w:line="40" w:lineRule="atLeast"/>
            </w:pPr>
            <w:r w:rsidRPr="00110AF4">
              <w:t>moderate</w:t>
            </w:r>
          </w:p>
        </w:tc>
        <w:tc>
          <w:tcPr>
            <w:tcW w:w="990" w:type="dxa"/>
            <w:shd w:val="clear" w:color="auto" w:fill="FFFFFF"/>
          </w:tcPr>
          <w:p w:rsidR="00A23182" w:rsidRPr="00110AF4" w:rsidRDefault="00A23182" w:rsidP="007C6924">
            <w:pPr>
              <w:spacing w:line="40" w:lineRule="atLeast"/>
            </w:pPr>
            <w:r w:rsidRPr="00110AF4">
              <w:t>5</w:t>
            </w:r>
          </w:p>
        </w:tc>
        <w:tc>
          <w:tcPr>
            <w:tcW w:w="1530" w:type="dxa"/>
            <w:shd w:val="clear" w:color="auto" w:fill="FFFFFF"/>
          </w:tcPr>
          <w:p w:rsidR="00A23182" w:rsidRPr="00110AF4" w:rsidRDefault="00A23182" w:rsidP="007C6924">
            <w:pPr>
              <w:spacing w:line="40" w:lineRule="atLeast"/>
            </w:pPr>
            <w:r w:rsidRPr="00110AF4">
              <w:t>33.3%</w:t>
            </w:r>
          </w:p>
        </w:tc>
        <w:tc>
          <w:tcPr>
            <w:tcW w:w="1530" w:type="dxa"/>
            <w:shd w:val="clear" w:color="auto" w:fill="FFFFFF"/>
          </w:tcPr>
          <w:p w:rsidR="00A23182" w:rsidRPr="00110AF4" w:rsidRDefault="00A23182" w:rsidP="007C6924">
            <w:pPr>
              <w:spacing w:line="40" w:lineRule="atLeast"/>
            </w:pPr>
            <w:r w:rsidRPr="00110AF4">
              <w:t>7</w:t>
            </w:r>
          </w:p>
        </w:tc>
        <w:tc>
          <w:tcPr>
            <w:tcW w:w="1530" w:type="dxa"/>
            <w:shd w:val="clear" w:color="auto" w:fill="FFFFFF"/>
          </w:tcPr>
          <w:p w:rsidR="00A23182" w:rsidRPr="00110AF4" w:rsidRDefault="00A23182" w:rsidP="007C6924">
            <w:pPr>
              <w:spacing w:line="40" w:lineRule="atLeast"/>
            </w:pPr>
            <w:r w:rsidRPr="00110AF4">
              <w:t>53.8%</w:t>
            </w:r>
          </w:p>
        </w:tc>
      </w:tr>
      <w:tr w:rsidR="00A23182" w:rsidRPr="00110AF4">
        <w:trPr>
          <w:cantSplit/>
          <w:tblHeader/>
          <w:jc w:val="center"/>
        </w:trPr>
        <w:tc>
          <w:tcPr>
            <w:tcW w:w="1710" w:type="dxa"/>
            <w:vMerge/>
            <w:shd w:val="clear" w:color="auto" w:fill="FFFFFF"/>
          </w:tcPr>
          <w:p w:rsidR="00A23182" w:rsidRPr="00110AF4" w:rsidRDefault="00A23182" w:rsidP="007C6924">
            <w:pPr>
              <w:spacing w:line="40" w:lineRule="atLeast"/>
            </w:pPr>
          </w:p>
        </w:tc>
        <w:tc>
          <w:tcPr>
            <w:tcW w:w="1350" w:type="dxa"/>
            <w:shd w:val="clear" w:color="auto" w:fill="FFFFFF"/>
          </w:tcPr>
          <w:p w:rsidR="00A23182" w:rsidRPr="00110AF4" w:rsidRDefault="00A23182" w:rsidP="007C6924">
            <w:pPr>
              <w:spacing w:line="40" w:lineRule="atLeast"/>
            </w:pPr>
            <w:r w:rsidRPr="00110AF4">
              <w:t>high</w:t>
            </w:r>
          </w:p>
        </w:tc>
        <w:tc>
          <w:tcPr>
            <w:tcW w:w="990" w:type="dxa"/>
            <w:shd w:val="clear" w:color="auto" w:fill="FFFFFF"/>
          </w:tcPr>
          <w:p w:rsidR="00A23182" w:rsidRPr="00110AF4" w:rsidRDefault="00A23182" w:rsidP="007C6924">
            <w:pPr>
              <w:spacing w:line="40" w:lineRule="atLeast"/>
            </w:pPr>
            <w:r w:rsidRPr="00110AF4">
              <w:t>8</w:t>
            </w:r>
          </w:p>
        </w:tc>
        <w:tc>
          <w:tcPr>
            <w:tcW w:w="1530" w:type="dxa"/>
            <w:shd w:val="clear" w:color="auto" w:fill="FFFFFF"/>
          </w:tcPr>
          <w:p w:rsidR="00A23182" w:rsidRPr="00110AF4" w:rsidRDefault="00A23182" w:rsidP="007C6924">
            <w:pPr>
              <w:spacing w:line="40" w:lineRule="atLeast"/>
            </w:pPr>
            <w:r w:rsidRPr="00110AF4">
              <w:t>53.3%</w:t>
            </w:r>
          </w:p>
        </w:tc>
        <w:tc>
          <w:tcPr>
            <w:tcW w:w="1530" w:type="dxa"/>
            <w:shd w:val="clear" w:color="auto" w:fill="FFFFFF"/>
          </w:tcPr>
          <w:p w:rsidR="00A23182" w:rsidRPr="00110AF4" w:rsidRDefault="00A23182" w:rsidP="007C6924">
            <w:pPr>
              <w:spacing w:line="40" w:lineRule="atLeast"/>
            </w:pPr>
            <w:r w:rsidRPr="00110AF4">
              <w:t>4</w:t>
            </w:r>
          </w:p>
        </w:tc>
        <w:tc>
          <w:tcPr>
            <w:tcW w:w="1530" w:type="dxa"/>
            <w:shd w:val="clear" w:color="auto" w:fill="FFFFFF"/>
          </w:tcPr>
          <w:p w:rsidR="00A23182" w:rsidRPr="00110AF4" w:rsidRDefault="00A23182" w:rsidP="007C6924">
            <w:pPr>
              <w:spacing w:line="40" w:lineRule="atLeast"/>
            </w:pPr>
            <w:r w:rsidRPr="00110AF4">
              <w:t>30.8%</w:t>
            </w:r>
          </w:p>
        </w:tc>
      </w:tr>
      <w:tr w:rsidR="00A23182" w:rsidRPr="00110AF4">
        <w:trPr>
          <w:cantSplit/>
          <w:tblHeader/>
          <w:jc w:val="center"/>
        </w:trPr>
        <w:tc>
          <w:tcPr>
            <w:tcW w:w="1710" w:type="dxa"/>
            <w:vMerge w:val="restart"/>
            <w:shd w:val="clear" w:color="auto" w:fill="FFFFFF"/>
          </w:tcPr>
          <w:p w:rsidR="00A23182" w:rsidRPr="00110AF4" w:rsidRDefault="00A23182" w:rsidP="007C6924">
            <w:pPr>
              <w:spacing w:line="40" w:lineRule="atLeast"/>
            </w:pPr>
            <w:r w:rsidRPr="00110AF4">
              <w:t xml:space="preserve">Hyperactivity </w:t>
            </w:r>
          </w:p>
        </w:tc>
        <w:tc>
          <w:tcPr>
            <w:tcW w:w="1350" w:type="dxa"/>
            <w:shd w:val="clear" w:color="auto" w:fill="FFFFFF"/>
          </w:tcPr>
          <w:p w:rsidR="00A23182" w:rsidRPr="00110AF4" w:rsidRDefault="00A23182" w:rsidP="007C6924">
            <w:pPr>
              <w:spacing w:line="40" w:lineRule="atLeast"/>
            </w:pPr>
            <w:r w:rsidRPr="00110AF4">
              <w:t>low</w:t>
            </w:r>
          </w:p>
        </w:tc>
        <w:tc>
          <w:tcPr>
            <w:tcW w:w="990" w:type="dxa"/>
            <w:shd w:val="clear" w:color="auto" w:fill="FFFFFF"/>
          </w:tcPr>
          <w:p w:rsidR="00A23182" w:rsidRPr="00110AF4" w:rsidRDefault="00A23182" w:rsidP="007C6924">
            <w:pPr>
              <w:spacing w:line="40" w:lineRule="atLeast"/>
            </w:pPr>
            <w:r w:rsidRPr="00110AF4">
              <w:t>1</w:t>
            </w:r>
          </w:p>
        </w:tc>
        <w:tc>
          <w:tcPr>
            <w:tcW w:w="1530" w:type="dxa"/>
            <w:shd w:val="clear" w:color="auto" w:fill="FFFFFF"/>
          </w:tcPr>
          <w:p w:rsidR="00A23182" w:rsidRPr="00110AF4" w:rsidRDefault="00A23182" w:rsidP="007C6924">
            <w:pPr>
              <w:spacing w:line="40" w:lineRule="atLeast"/>
            </w:pPr>
            <w:r w:rsidRPr="00110AF4">
              <w:t>6.7%</w:t>
            </w:r>
          </w:p>
        </w:tc>
        <w:tc>
          <w:tcPr>
            <w:tcW w:w="1530" w:type="dxa"/>
            <w:shd w:val="clear" w:color="auto" w:fill="FFFFFF"/>
          </w:tcPr>
          <w:p w:rsidR="00A23182" w:rsidRPr="00110AF4" w:rsidRDefault="00A23182" w:rsidP="007C6924">
            <w:pPr>
              <w:spacing w:line="40" w:lineRule="atLeast"/>
            </w:pPr>
            <w:r w:rsidRPr="00110AF4">
              <w:t>2</w:t>
            </w:r>
          </w:p>
        </w:tc>
        <w:tc>
          <w:tcPr>
            <w:tcW w:w="1530" w:type="dxa"/>
            <w:shd w:val="clear" w:color="auto" w:fill="FFFFFF"/>
          </w:tcPr>
          <w:p w:rsidR="00A23182" w:rsidRPr="00110AF4" w:rsidRDefault="00A23182" w:rsidP="007C6924">
            <w:pPr>
              <w:spacing w:line="40" w:lineRule="atLeast"/>
            </w:pPr>
            <w:r w:rsidRPr="00110AF4">
              <w:t>15.4%</w:t>
            </w:r>
          </w:p>
        </w:tc>
      </w:tr>
      <w:tr w:rsidR="00A23182" w:rsidRPr="00110AF4">
        <w:trPr>
          <w:cantSplit/>
          <w:tblHeader/>
          <w:jc w:val="center"/>
        </w:trPr>
        <w:tc>
          <w:tcPr>
            <w:tcW w:w="1710" w:type="dxa"/>
            <w:vMerge/>
            <w:shd w:val="clear" w:color="auto" w:fill="FFFFFF"/>
          </w:tcPr>
          <w:p w:rsidR="00A23182" w:rsidRPr="00110AF4" w:rsidRDefault="00A23182" w:rsidP="007C6924">
            <w:pPr>
              <w:spacing w:line="40" w:lineRule="atLeast"/>
            </w:pPr>
          </w:p>
        </w:tc>
        <w:tc>
          <w:tcPr>
            <w:tcW w:w="1350" w:type="dxa"/>
            <w:shd w:val="clear" w:color="auto" w:fill="FFFFFF"/>
          </w:tcPr>
          <w:p w:rsidR="00A23182" w:rsidRPr="00110AF4" w:rsidRDefault="00A23182" w:rsidP="007C6924">
            <w:pPr>
              <w:spacing w:line="40" w:lineRule="atLeast"/>
            </w:pPr>
            <w:r w:rsidRPr="00110AF4">
              <w:t>moderate</w:t>
            </w:r>
          </w:p>
        </w:tc>
        <w:tc>
          <w:tcPr>
            <w:tcW w:w="990" w:type="dxa"/>
            <w:shd w:val="clear" w:color="auto" w:fill="FFFFFF"/>
          </w:tcPr>
          <w:p w:rsidR="00A23182" w:rsidRPr="00110AF4" w:rsidRDefault="00A23182" w:rsidP="007C6924">
            <w:pPr>
              <w:spacing w:line="40" w:lineRule="atLeast"/>
            </w:pPr>
            <w:r w:rsidRPr="00110AF4">
              <w:t>3</w:t>
            </w:r>
          </w:p>
        </w:tc>
        <w:tc>
          <w:tcPr>
            <w:tcW w:w="1530" w:type="dxa"/>
            <w:shd w:val="clear" w:color="auto" w:fill="FFFFFF"/>
          </w:tcPr>
          <w:p w:rsidR="00A23182" w:rsidRPr="00110AF4" w:rsidRDefault="00A23182" w:rsidP="007C6924">
            <w:pPr>
              <w:spacing w:line="40" w:lineRule="atLeast"/>
            </w:pPr>
            <w:r w:rsidRPr="00110AF4">
              <w:t>20.0%</w:t>
            </w:r>
          </w:p>
        </w:tc>
        <w:tc>
          <w:tcPr>
            <w:tcW w:w="1530" w:type="dxa"/>
            <w:shd w:val="clear" w:color="auto" w:fill="FFFFFF"/>
          </w:tcPr>
          <w:p w:rsidR="00A23182" w:rsidRPr="00110AF4" w:rsidRDefault="00A23182" w:rsidP="007C6924">
            <w:pPr>
              <w:spacing w:line="40" w:lineRule="atLeast"/>
            </w:pPr>
            <w:r w:rsidRPr="00110AF4">
              <w:t>1</w:t>
            </w:r>
          </w:p>
        </w:tc>
        <w:tc>
          <w:tcPr>
            <w:tcW w:w="1530" w:type="dxa"/>
            <w:shd w:val="clear" w:color="auto" w:fill="FFFFFF"/>
          </w:tcPr>
          <w:p w:rsidR="00A23182" w:rsidRPr="00110AF4" w:rsidRDefault="00A23182" w:rsidP="007C6924">
            <w:pPr>
              <w:spacing w:line="40" w:lineRule="atLeast"/>
            </w:pPr>
            <w:r w:rsidRPr="00110AF4">
              <w:t>7.7%</w:t>
            </w:r>
          </w:p>
        </w:tc>
      </w:tr>
      <w:tr w:rsidR="00A23182" w:rsidRPr="00110AF4">
        <w:trPr>
          <w:cantSplit/>
          <w:jc w:val="center"/>
        </w:trPr>
        <w:tc>
          <w:tcPr>
            <w:tcW w:w="1710" w:type="dxa"/>
            <w:vMerge/>
            <w:shd w:val="clear" w:color="auto" w:fill="FFFFFF"/>
          </w:tcPr>
          <w:p w:rsidR="00A23182" w:rsidRPr="00110AF4" w:rsidRDefault="00A23182" w:rsidP="007C6924">
            <w:pPr>
              <w:spacing w:line="40" w:lineRule="atLeast"/>
            </w:pPr>
          </w:p>
        </w:tc>
        <w:tc>
          <w:tcPr>
            <w:tcW w:w="1350" w:type="dxa"/>
            <w:shd w:val="clear" w:color="auto" w:fill="FFFFFF"/>
          </w:tcPr>
          <w:p w:rsidR="00A23182" w:rsidRPr="00110AF4" w:rsidRDefault="00A23182" w:rsidP="007C6924">
            <w:pPr>
              <w:spacing w:line="40" w:lineRule="atLeast"/>
            </w:pPr>
            <w:r w:rsidRPr="00110AF4">
              <w:t>high</w:t>
            </w:r>
          </w:p>
        </w:tc>
        <w:tc>
          <w:tcPr>
            <w:tcW w:w="990" w:type="dxa"/>
            <w:shd w:val="clear" w:color="auto" w:fill="FFFFFF"/>
          </w:tcPr>
          <w:p w:rsidR="00A23182" w:rsidRPr="00110AF4" w:rsidRDefault="00A23182" w:rsidP="007C6924">
            <w:pPr>
              <w:spacing w:line="40" w:lineRule="atLeast"/>
            </w:pPr>
            <w:r w:rsidRPr="00110AF4">
              <w:t>11</w:t>
            </w:r>
          </w:p>
        </w:tc>
        <w:tc>
          <w:tcPr>
            <w:tcW w:w="1530" w:type="dxa"/>
            <w:shd w:val="clear" w:color="auto" w:fill="FFFFFF"/>
          </w:tcPr>
          <w:p w:rsidR="00A23182" w:rsidRPr="00110AF4" w:rsidRDefault="00A23182" w:rsidP="007C6924">
            <w:pPr>
              <w:spacing w:line="40" w:lineRule="atLeast"/>
            </w:pPr>
            <w:r w:rsidRPr="00110AF4">
              <w:t>73.3%</w:t>
            </w:r>
          </w:p>
        </w:tc>
        <w:tc>
          <w:tcPr>
            <w:tcW w:w="1530" w:type="dxa"/>
            <w:shd w:val="clear" w:color="auto" w:fill="FFFFFF"/>
          </w:tcPr>
          <w:p w:rsidR="00A23182" w:rsidRPr="00110AF4" w:rsidRDefault="00A23182" w:rsidP="007C6924">
            <w:pPr>
              <w:spacing w:line="40" w:lineRule="atLeast"/>
            </w:pPr>
            <w:r w:rsidRPr="00110AF4">
              <w:t>10</w:t>
            </w:r>
          </w:p>
        </w:tc>
        <w:tc>
          <w:tcPr>
            <w:tcW w:w="1530" w:type="dxa"/>
            <w:shd w:val="clear" w:color="auto" w:fill="FFFFFF"/>
          </w:tcPr>
          <w:p w:rsidR="00A23182" w:rsidRPr="00110AF4" w:rsidRDefault="00A23182" w:rsidP="007C6924">
            <w:pPr>
              <w:spacing w:line="40" w:lineRule="atLeast"/>
            </w:pPr>
            <w:r w:rsidRPr="00110AF4">
              <w:t>76.9%</w:t>
            </w:r>
          </w:p>
        </w:tc>
      </w:tr>
      <w:tr w:rsidR="00A23182" w:rsidRPr="00110AF4">
        <w:trPr>
          <w:cantSplit/>
          <w:jc w:val="center"/>
        </w:trPr>
        <w:tc>
          <w:tcPr>
            <w:tcW w:w="1710" w:type="dxa"/>
            <w:shd w:val="clear" w:color="auto" w:fill="FFFFFF"/>
          </w:tcPr>
          <w:p w:rsidR="00A23182" w:rsidRPr="00110AF4" w:rsidRDefault="00A23182" w:rsidP="007C6924">
            <w:pPr>
              <w:spacing w:line="40" w:lineRule="atLeast"/>
            </w:pPr>
            <w:r w:rsidRPr="00110AF4">
              <w:t xml:space="preserve">Total number </w:t>
            </w:r>
          </w:p>
        </w:tc>
        <w:tc>
          <w:tcPr>
            <w:tcW w:w="2340" w:type="dxa"/>
            <w:gridSpan w:val="2"/>
            <w:shd w:val="clear" w:color="auto" w:fill="FFFFFF"/>
          </w:tcPr>
          <w:p w:rsidR="00A23182" w:rsidRPr="00110AF4" w:rsidRDefault="00A23182" w:rsidP="007C6924">
            <w:pPr>
              <w:spacing w:line="40" w:lineRule="atLeast"/>
            </w:pPr>
            <w:r w:rsidRPr="00110AF4">
              <w:t>15</w:t>
            </w:r>
          </w:p>
        </w:tc>
        <w:tc>
          <w:tcPr>
            <w:tcW w:w="1530" w:type="dxa"/>
            <w:shd w:val="clear" w:color="auto" w:fill="FFFFFF"/>
          </w:tcPr>
          <w:p w:rsidR="00A23182" w:rsidRPr="00110AF4" w:rsidRDefault="00A23182" w:rsidP="007C6924">
            <w:pPr>
              <w:spacing w:line="40" w:lineRule="atLeast"/>
            </w:pPr>
          </w:p>
        </w:tc>
        <w:tc>
          <w:tcPr>
            <w:tcW w:w="1530" w:type="dxa"/>
            <w:shd w:val="clear" w:color="auto" w:fill="FFFFFF"/>
          </w:tcPr>
          <w:p w:rsidR="00A23182" w:rsidRPr="00110AF4" w:rsidRDefault="00A23182" w:rsidP="007C6924">
            <w:pPr>
              <w:spacing w:line="40" w:lineRule="atLeast"/>
            </w:pPr>
            <w:r w:rsidRPr="00110AF4">
              <w:t>13</w:t>
            </w:r>
          </w:p>
        </w:tc>
        <w:tc>
          <w:tcPr>
            <w:tcW w:w="1530" w:type="dxa"/>
            <w:shd w:val="clear" w:color="auto" w:fill="FFFFFF"/>
          </w:tcPr>
          <w:p w:rsidR="00A23182" w:rsidRPr="00110AF4" w:rsidRDefault="00A23182" w:rsidP="007C6924">
            <w:pPr>
              <w:spacing w:line="40" w:lineRule="atLeast"/>
            </w:pPr>
          </w:p>
        </w:tc>
      </w:tr>
    </w:tbl>
    <w:p w:rsidR="00A23182" w:rsidRPr="00110AF4" w:rsidRDefault="00A23182" w:rsidP="007C6924">
      <w:pPr>
        <w:autoSpaceDE w:val="0"/>
        <w:autoSpaceDN w:val="0"/>
        <w:adjustRightInd w:val="0"/>
        <w:spacing w:after="0" w:line="360" w:lineRule="auto"/>
        <w:ind w:firstLine="425"/>
        <w:jc w:val="both"/>
      </w:pPr>
    </w:p>
    <w:p w:rsidR="00A23182" w:rsidRPr="00110AF4" w:rsidRDefault="00A23182" w:rsidP="007C6924">
      <w:pPr>
        <w:autoSpaceDE w:val="0"/>
        <w:autoSpaceDN w:val="0"/>
        <w:adjustRightInd w:val="0"/>
        <w:spacing w:after="0" w:line="360" w:lineRule="auto"/>
        <w:ind w:firstLine="425"/>
        <w:jc w:val="both"/>
      </w:pPr>
      <w:r w:rsidRPr="00110AF4">
        <w:t>Table 4: mean ADHD scores before and after treatment with carbamazepine</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770"/>
        <w:gridCol w:w="1775"/>
        <w:gridCol w:w="1442"/>
        <w:gridCol w:w="1775"/>
        <w:gridCol w:w="1442"/>
      </w:tblGrid>
      <w:tr w:rsidR="00A23182" w:rsidRPr="00110AF4">
        <w:trPr>
          <w:cantSplit/>
          <w:tblHeader/>
          <w:jc w:val="center"/>
        </w:trPr>
        <w:tc>
          <w:tcPr>
            <w:tcW w:w="3060" w:type="dxa"/>
            <w:shd w:val="clear" w:color="auto" w:fill="FFFFFF"/>
            <w:vAlign w:val="center"/>
          </w:tcPr>
          <w:p w:rsidR="00A23182" w:rsidRPr="00110AF4" w:rsidRDefault="00A23182" w:rsidP="007C6924">
            <w:pPr>
              <w:spacing w:line="40" w:lineRule="atLeast"/>
            </w:pPr>
          </w:p>
        </w:tc>
        <w:tc>
          <w:tcPr>
            <w:tcW w:w="1440" w:type="dxa"/>
            <w:shd w:val="clear" w:color="auto" w:fill="FFFFFF"/>
            <w:vAlign w:val="center"/>
          </w:tcPr>
          <w:p w:rsidR="00A23182" w:rsidRPr="00110AF4" w:rsidRDefault="00A23182" w:rsidP="007C6924">
            <w:pPr>
              <w:spacing w:line="40" w:lineRule="atLeast"/>
            </w:pPr>
            <w:r w:rsidRPr="00110AF4">
              <w:t>Mean</w:t>
            </w:r>
          </w:p>
        </w:tc>
        <w:tc>
          <w:tcPr>
            <w:tcW w:w="1170" w:type="dxa"/>
            <w:shd w:val="clear" w:color="auto" w:fill="FFFFFF"/>
            <w:vAlign w:val="center"/>
          </w:tcPr>
          <w:p w:rsidR="00A23182" w:rsidRPr="00110AF4" w:rsidRDefault="00A23182" w:rsidP="007C6924">
            <w:pPr>
              <w:spacing w:line="40" w:lineRule="atLeast"/>
            </w:pPr>
            <w:r w:rsidRPr="00110AF4">
              <w:t>SD</w:t>
            </w:r>
          </w:p>
        </w:tc>
        <w:tc>
          <w:tcPr>
            <w:tcW w:w="1440" w:type="dxa"/>
            <w:shd w:val="clear" w:color="auto" w:fill="FFFFFF"/>
            <w:vAlign w:val="center"/>
          </w:tcPr>
          <w:p w:rsidR="00A23182" w:rsidRPr="00110AF4" w:rsidRDefault="00A23182" w:rsidP="007C6924">
            <w:pPr>
              <w:spacing w:line="40" w:lineRule="atLeast"/>
            </w:pPr>
            <w:r w:rsidRPr="00110AF4">
              <w:t>Paired t test</w:t>
            </w:r>
          </w:p>
        </w:tc>
        <w:tc>
          <w:tcPr>
            <w:tcW w:w="1170" w:type="dxa"/>
            <w:shd w:val="clear" w:color="auto" w:fill="FFFFFF"/>
            <w:vAlign w:val="center"/>
          </w:tcPr>
          <w:p w:rsidR="00A23182" w:rsidRPr="00110AF4" w:rsidRDefault="00A23182" w:rsidP="007C6924">
            <w:pPr>
              <w:spacing w:line="40" w:lineRule="atLeast"/>
            </w:pPr>
            <w:r w:rsidRPr="00110AF4">
              <w:t>P value</w:t>
            </w:r>
          </w:p>
        </w:tc>
      </w:tr>
      <w:tr w:rsidR="00A23182" w:rsidRPr="00110AF4">
        <w:trPr>
          <w:cantSplit/>
          <w:tblHeader/>
          <w:jc w:val="center"/>
        </w:trPr>
        <w:tc>
          <w:tcPr>
            <w:tcW w:w="3060" w:type="dxa"/>
            <w:shd w:val="clear" w:color="auto" w:fill="FFFFFF"/>
            <w:vAlign w:val="center"/>
          </w:tcPr>
          <w:p w:rsidR="00A23182" w:rsidRPr="00110AF4" w:rsidRDefault="00A23182" w:rsidP="007C6924">
            <w:pPr>
              <w:spacing w:line="40" w:lineRule="atLeast"/>
            </w:pPr>
            <w:r w:rsidRPr="00110AF4">
              <w:t>ADHD scale before</w:t>
            </w:r>
          </w:p>
        </w:tc>
        <w:tc>
          <w:tcPr>
            <w:tcW w:w="1440" w:type="dxa"/>
            <w:shd w:val="clear" w:color="auto" w:fill="FFFFFF"/>
          </w:tcPr>
          <w:p w:rsidR="00A23182" w:rsidRPr="00110AF4" w:rsidRDefault="00A23182" w:rsidP="007C6924">
            <w:pPr>
              <w:spacing w:line="40" w:lineRule="atLeast"/>
            </w:pPr>
            <w:r w:rsidRPr="00110AF4">
              <w:t>71.92</w:t>
            </w:r>
          </w:p>
        </w:tc>
        <w:tc>
          <w:tcPr>
            <w:tcW w:w="1170" w:type="dxa"/>
            <w:shd w:val="clear" w:color="auto" w:fill="FFFFFF"/>
          </w:tcPr>
          <w:p w:rsidR="00A23182" w:rsidRPr="00110AF4" w:rsidRDefault="00A23182" w:rsidP="007C6924">
            <w:pPr>
              <w:spacing w:line="40" w:lineRule="atLeast"/>
            </w:pPr>
            <w:r w:rsidRPr="00110AF4">
              <w:t>4.21</w:t>
            </w:r>
          </w:p>
        </w:tc>
        <w:tc>
          <w:tcPr>
            <w:tcW w:w="1440" w:type="dxa"/>
            <w:vMerge w:val="restart"/>
            <w:shd w:val="clear" w:color="auto" w:fill="FFFFFF"/>
            <w:vAlign w:val="center"/>
          </w:tcPr>
          <w:p w:rsidR="00A23182" w:rsidRPr="00110AF4" w:rsidRDefault="00A23182" w:rsidP="007C6924">
            <w:pPr>
              <w:spacing w:line="40" w:lineRule="atLeast"/>
            </w:pPr>
            <w:r w:rsidRPr="00110AF4">
              <w:t>3.15</w:t>
            </w:r>
          </w:p>
        </w:tc>
        <w:tc>
          <w:tcPr>
            <w:tcW w:w="1170" w:type="dxa"/>
            <w:vMerge w:val="restart"/>
            <w:shd w:val="clear" w:color="auto" w:fill="FFFFFF"/>
            <w:vAlign w:val="center"/>
          </w:tcPr>
          <w:p w:rsidR="00A23182" w:rsidRPr="00110AF4" w:rsidRDefault="00A23182" w:rsidP="007C6924">
            <w:pPr>
              <w:spacing w:line="40" w:lineRule="atLeast"/>
            </w:pPr>
            <w:r w:rsidRPr="00110AF4">
              <w:t>0.008</w:t>
            </w:r>
          </w:p>
        </w:tc>
      </w:tr>
      <w:tr w:rsidR="00A23182" w:rsidRPr="00110AF4">
        <w:trPr>
          <w:cantSplit/>
          <w:tblHeader/>
          <w:jc w:val="center"/>
        </w:trPr>
        <w:tc>
          <w:tcPr>
            <w:tcW w:w="3060" w:type="dxa"/>
            <w:shd w:val="clear" w:color="auto" w:fill="FFFFFF"/>
            <w:vAlign w:val="center"/>
          </w:tcPr>
          <w:p w:rsidR="00A23182" w:rsidRPr="00110AF4" w:rsidRDefault="00A23182" w:rsidP="007C6924">
            <w:pPr>
              <w:spacing w:line="40" w:lineRule="atLeast"/>
            </w:pPr>
            <w:r w:rsidRPr="00110AF4">
              <w:t>ADHD scale after</w:t>
            </w:r>
          </w:p>
        </w:tc>
        <w:tc>
          <w:tcPr>
            <w:tcW w:w="1440" w:type="dxa"/>
            <w:shd w:val="clear" w:color="auto" w:fill="FFFFFF"/>
          </w:tcPr>
          <w:p w:rsidR="00A23182" w:rsidRPr="00110AF4" w:rsidRDefault="00A23182" w:rsidP="007C6924">
            <w:pPr>
              <w:spacing w:line="40" w:lineRule="atLeast"/>
            </w:pPr>
            <w:r w:rsidRPr="00110AF4">
              <w:t>68.85</w:t>
            </w:r>
          </w:p>
        </w:tc>
        <w:tc>
          <w:tcPr>
            <w:tcW w:w="1170" w:type="dxa"/>
            <w:shd w:val="clear" w:color="auto" w:fill="FFFFFF"/>
          </w:tcPr>
          <w:p w:rsidR="00A23182" w:rsidRPr="00110AF4" w:rsidRDefault="00A23182" w:rsidP="007C6924">
            <w:pPr>
              <w:spacing w:line="40" w:lineRule="atLeast"/>
            </w:pPr>
            <w:r w:rsidRPr="00110AF4">
              <w:t>5.97</w:t>
            </w:r>
          </w:p>
        </w:tc>
        <w:tc>
          <w:tcPr>
            <w:tcW w:w="1440" w:type="dxa"/>
            <w:vMerge/>
            <w:shd w:val="clear" w:color="auto" w:fill="FFFFFF"/>
            <w:vAlign w:val="center"/>
          </w:tcPr>
          <w:p w:rsidR="00A23182" w:rsidRPr="00110AF4" w:rsidRDefault="00A23182" w:rsidP="007C6924">
            <w:pPr>
              <w:spacing w:line="40" w:lineRule="atLeast"/>
            </w:pPr>
          </w:p>
        </w:tc>
        <w:tc>
          <w:tcPr>
            <w:tcW w:w="1170" w:type="dxa"/>
            <w:vMerge/>
            <w:shd w:val="clear" w:color="auto" w:fill="FFFFFF"/>
            <w:vAlign w:val="center"/>
          </w:tcPr>
          <w:p w:rsidR="00A23182" w:rsidRPr="00110AF4" w:rsidRDefault="00A23182" w:rsidP="007C6924">
            <w:pPr>
              <w:spacing w:line="40" w:lineRule="atLeast"/>
            </w:pPr>
          </w:p>
        </w:tc>
      </w:tr>
      <w:tr w:rsidR="00A23182" w:rsidRPr="00110AF4">
        <w:trPr>
          <w:cantSplit/>
          <w:tblHeader/>
          <w:jc w:val="center"/>
        </w:trPr>
        <w:tc>
          <w:tcPr>
            <w:tcW w:w="3060" w:type="dxa"/>
            <w:shd w:val="clear" w:color="auto" w:fill="FFFFFF"/>
            <w:vAlign w:val="center"/>
          </w:tcPr>
          <w:p w:rsidR="00A23182" w:rsidRPr="00110AF4" w:rsidRDefault="00A23182" w:rsidP="007C6924">
            <w:pPr>
              <w:spacing w:line="40" w:lineRule="atLeast"/>
            </w:pPr>
            <w:r w:rsidRPr="00110AF4">
              <w:t>Difference</w:t>
            </w:r>
          </w:p>
        </w:tc>
        <w:tc>
          <w:tcPr>
            <w:tcW w:w="1440" w:type="dxa"/>
            <w:shd w:val="clear" w:color="auto" w:fill="FFFFFF"/>
          </w:tcPr>
          <w:p w:rsidR="00A23182" w:rsidRPr="00110AF4" w:rsidRDefault="00A23182" w:rsidP="007C6924">
            <w:pPr>
              <w:spacing w:line="40" w:lineRule="atLeast"/>
            </w:pPr>
            <w:r w:rsidRPr="00110AF4">
              <w:t>3.08</w:t>
            </w:r>
          </w:p>
        </w:tc>
        <w:tc>
          <w:tcPr>
            <w:tcW w:w="1170" w:type="dxa"/>
            <w:shd w:val="clear" w:color="auto" w:fill="FFFFFF"/>
          </w:tcPr>
          <w:p w:rsidR="00A23182" w:rsidRPr="00110AF4" w:rsidRDefault="00A23182" w:rsidP="007C6924">
            <w:pPr>
              <w:spacing w:line="40" w:lineRule="atLeast"/>
            </w:pPr>
            <w:r w:rsidRPr="00110AF4">
              <w:t>3.52</w:t>
            </w:r>
          </w:p>
        </w:tc>
        <w:tc>
          <w:tcPr>
            <w:tcW w:w="1440" w:type="dxa"/>
            <w:vMerge/>
            <w:shd w:val="clear" w:color="auto" w:fill="FFFFFF"/>
            <w:vAlign w:val="center"/>
          </w:tcPr>
          <w:p w:rsidR="00A23182" w:rsidRPr="00110AF4" w:rsidRDefault="00A23182" w:rsidP="007C6924">
            <w:pPr>
              <w:spacing w:line="40" w:lineRule="atLeast"/>
            </w:pPr>
          </w:p>
        </w:tc>
        <w:tc>
          <w:tcPr>
            <w:tcW w:w="1170" w:type="dxa"/>
            <w:vMerge/>
            <w:shd w:val="clear" w:color="auto" w:fill="FFFFFF"/>
            <w:vAlign w:val="center"/>
          </w:tcPr>
          <w:p w:rsidR="00A23182" w:rsidRPr="00110AF4" w:rsidRDefault="00A23182" w:rsidP="007C6924">
            <w:pPr>
              <w:spacing w:line="40" w:lineRule="atLeast"/>
            </w:pPr>
          </w:p>
        </w:tc>
      </w:tr>
      <w:tr w:rsidR="00A23182" w:rsidRPr="00110AF4">
        <w:trPr>
          <w:cantSplit/>
          <w:tblHeader/>
          <w:jc w:val="center"/>
        </w:trPr>
        <w:tc>
          <w:tcPr>
            <w:tcW w:w="3060" w:type="dxa"/>
            <w:shd w:val="clear" w:color="auto" w:fill="FFFFFF"/>
            <w:vAlign w:val="center"/>
          </w:tcPr>
          <w:p w:rsidR="00A23182" w:rsidRPr="00110AF4" w:rsidRDefault="00A23182" w:rsidP="007C6924">
            <w:pPr>
              <w:spacing w:line="40" w:lineRule="atLeast"/>
            </w:pPr>
            <w:r w:rsidRPr="00110AF4">
              <w:t>Inattentive score before</w:t>
            </w:r>
          </w:p>
        </w:tc>
        <w:tc>
          <w:tcPr>
            <w:tcW w:w="1440" w:type="dxa"/>
            <w:shd w:val="clear" w:color="auto" w:fill="FFFFFF"/>
          </w:tcPr>
          <w:p w:rsidR="00A23182" w:rsidRPr="00110AF4" w:rsidRDefault="00A23182" w:rsidP="007C6924">
            <w:pPr>
              <w:spacing w:line="40" w:lineRule="atLeast"/>
            </w:pPr>
            <w:r w:rsidRPr="00110AF4">
              <w:t>69.85</w:t>
            </w:r>
          </w:p>
        </w:tc>
        <w:tc>
          <w:tcPr>
            <w:tcW w:w="1170" w:type="dxa"/>
            <w:shd w:val="clear" w:color="auto" w:fill="FFFFFF"/>
          </w:tcPr>
          <w:p w:rsidR="00A23182" w:rsidRPr="00110AF4" w:rsidRDefault="00A23182" w:rsidP="007C6924">
            <w:pPr>
              <w:spacing w:line="40" w:lineRule="atLeast"/>
            </w:pPr>
            <w:r w:rsidRPr="00110AF4">
              <w:t>8.21</w:t>
            </w:r>
          </w:p>
        </w:tc>
        <w:tc>
          <w:tcPr>
            <w:tcW w:w="1440" w:type="dxa"/>
            <w:vMerge w:val="restart"/>
            <w:shd w:val="clear" w:color="auto" w:fill="FFFFFF"/>
            <w:vAlign w:val="center"/>
          </w:tcPr>
          <w:p w:rsidR="00A23182" w:rsidRPr="00110AF4" w:rsidRDefault="00A23182" w:rsidP="007C6924">
            <w:pPr>
              <w:spacing w:line="40" w:lineRule="atLeast"/>
            </w:pPr>
            <w:r w:rsidRPr="00110AF4">
              <w:t>2.20</w:t>
            </w:r>
          </w:p>
        </w:tc>
        <w:tc>
          <w:tcPr>
            <w:tcW w:w="1170" w:type="dxa"/>
            <w:vMerge w:val="restart"/>
            <w:shd w:val="clear" w:color="auto" w:fill="FFFFFF"/>
            <w:vAlign w:val="center"/>
          </w:tcPr>
          <w:p w:rsidR="00A23182" w:rsidRPr="00110AF4" w:rsidRDefault="00A23182" w:rsidP="007C6924">
            <w:pPr>
              <w:spacing w:line="40" w:lineRule="atLeast"/>
            </w:pPr>
            <w:r w:rsidRPr="00110AF4">
              <w:t>0.048</w:t>
            </w:r>
          </w:p>
        </w:tc>
      </w:tr>
      <w:tr w:rsidR="00A23182" w:rsidRPr="00110AF4">
        <w:trPr>
          <w:cantSplit/>
          <w:tblHeader/>
          <w:jc w:val="center"/>
        </w:trPr>
        <w:tc>
          <w:tcPr>
            <w:tcW w:w="3060" w:type="dxa"/>
            <w:shd w:val="clear" w:color="auto" w:fill="FFFFFF"/>
            <w:vAlign w:val="center"/>
          </w:tcPr>
          <w:p w:rsidR="00A23182" w:rsidRPr="00110AF4" w:rsidRDefault="00A23182" w:rsidP="007C6924">
            <w:pPr>
              <w:spacing w:line="40" w:lineRule="atLeast"/>
            </w:pPr>
            <w:r w:rsidRPr="00110AF4">
              <w:t>Inattentive score after</w:t>
            </w:r>
          </w:p>
        </w:tc>
        <w:tc>
          <w:tcPr>
            <w:tcW w:w="1440" w:type="dxa"/>
            <w:shd w:val="clear" w:color="auto" w:fill="FFFFFF"/>
          </w:tcPr>
          <w:p w:rsidR="00A23182" w:rsidRPr="00110AF4" w:rsidRDefault="00A23182" w:rsidP="007C6924">
            <w:pPr>
              <w:spacing w:line="40" w:lineRule="atLeast"/>
            </w:pPr>
            <w:r w:rsidRPr="00110AF4">
              <w:t>65.31</w:t>
            </w:r>
          </w:p>
        </w:tc>
        <w:tc>
          <w:tcPr>
            <w:tcW w:w="1170" w:type="dxa"/>
            <w:shd w:val="clear" w:color="auto" w:fill="FFFFFF"/>
          </w:tcPr>
          <w:p w:rsidR="00A23182" w:rsidRPr="00110AF4" w:rsidRDefault="00A23182" w:rsidP="007C6924">
            <w:pPr>
              <w:spacing w:line="40" w:lineRule="atLeast"/>
            </w:pPr>
            <w:r w:rsidRPr="00110AF4">
              <w:t>8.47</w:t>
            </w:r>
          </w:p>
        </w:tc>
        <w:tc>
          <w:tcPr>
            <w:tcW w:w="1440" w:type="dxa"/>
            <w:vMerge/>
            <w:shd w:val="clear" w:color="auto" w:fill="FFFFFF"/>
            <w:vAlign w:val="center"/>
          </w:tcPr>
          <w:p w:rsidR="00A23182" w:rsidRPr="00110AF4" w:rsidRDefault="00A23182" w:rsidP="007C6924">
            <w:pPr>
              <w:spacing w:line="40" w:lineRule="atLeast"/>
            </w:pPr>
          </w:p>
        </w:tc>
        <w:tc>
          <w:tcPr>
            <w:tcW w:w="1170" w:type="dxa"/>
            <w:vMerge/>
            <w:shd w:val="clear" w:color="auto" w:fill="FFFFFF"/>
            <w:vAlign w:val="center"/>
          </w:tcPr>
          <w:p w:rsidR="00A23182" w:rsidRPr="00110AF4" w:rsidRDefault="00A23182" w:rsidP="007C6924">
            <w:pPr>
              <w:spacing w:line="40" w:lineRule="atLeast"/>
            </w:pPr>
          </w:p>
        </w:tc>
      </w:tr>
      <w:tr w:rsidR="00A23182" w:rsidRPr="00110AF4">
        <w:trPr>
          <w:cantSplit/>
          <w:tblHeader/>
          <w:jc w:val="center"/>
        </w:trPr>
        <w:tc>
          <w:tcPr>
            <w:tcW w:w="3060" w:type="dxa"/>
            <w:shd w:val="clear" w:color="auto" w:fill="FFFFFF"/>
            <w:vAlign w:val="center"/>
          </w:tcPr>
          <w:p w:rsidR="00A23182" w:rsidRPr="00110AF4" w:rsidRDefault="00A23182" w:rsidP="007C6924">
            <w:pPr>
              <w:spacing w:line="40" w:lineRule="atLeast"/>
            </w:pPr>
            <w:r w:rsidRPr="00110AF4">
              <w:t>Difference</w:t>
            </w:r>
          </w:p>
        </w:tc>
        <w:tc>
          <w:tcPr>
            <w:tcW w:w="1440" w:type="dxa"/>
            <w:shd w:val="clear" w:color="auto" w:fill="FFFFFF"/>
          </w:tcPr>
          <w:p w:rsidR="00A23182" w:rsidRPr="00110AF4" w:rsidRDefault="00A23182" w:rsidP="007C6924">
            <w:pPr>
              <w:spacing w:line="40" w:lineRule="atLeast"/>
            </w:pPr>
            <w:r w:rsidRPr="00110AF4">
              <w:t>4.54</w:t>
            </w:r>
          </w:p>
        </w:tc>
        <w:tc>
          <w:tcPr>
            <w:tcW w:w="1170" w:type="dxa"/>
            <w:shd w:val="clear" w:color="auto" w:fill="FFFFFF"/>
          </w:tcPr>
          <w:p w:rsidR="00A23182" w:rsidRPr="00110AF4" w:rsidRDefault="00A23182" w:rsidP="007C6924">
            <w:pPr>
              <w:spacing w:line="40" w:lineRule="atLeast"/>
            </w:pPr>
            <w:r w:rsidRPr="00110AF4">
              <w:t>7.42</w:t>
            </w:r>
          </w:p>
        </w:tc>
        <w:tc>
          <w:tcPr>
            <w:tcW w:w="1440" w:type="dxa"/>
            <w:vMerge/>
            <w:shd w:val="clear" w:color="auto" w:fill="FFFFFF"/>
            <w:vAlign w:val="center"/>
          </w:tcPr>
          <w:p w:rsidR="00A23182" w:rsidRPr="00110AF4" w:rsidRDefault="00A23182" w:rsidP="007C6924">
            <w:pPr>
              <w:spacing w:line="40" w:lineRule="atLeast"/>
            </w:pPr>
          </w:p>
        </w:tc>
        <w:tc>
          <w:tcPr>
            <w:tcW w:w="1170" w:type="dxa"/>
            <w:vMerge/>
            <w:shd w:val="clear" w:color="auto" w:fill="FFFFFF"/>
            <w:vAlign w:val="center"/>
          </w:tcPr>
          <w:p w:rsidR="00A23182" w:rsidRPr="00110AF4" w:rsidRDefault="00A23182" w:rsidP="007C6924">
            <w:pPr>
              <w:spacing w:line="40" w:lineRule="atLeast"/>
            </w:pPr>
          </w:p>
        </w:tc>
      </w:tr>
      <w:tr w:rsidR="00A23182" w:rsidRPr="00110AF4">
        <w:trPr>
          <w:cantSplit/>
          <w:tblHeader/>
          <w:jc w:val="center"/>
        </w:trPr>
        <w:tc>
          <w:tcPr>
            <w:tcW w:w="3060" w:type="dxa"/>
            <w:shd w:val="clear" w:color="auto" w:fill="FFFFFF"/>
            <w:vAlign w:val="center"/>
          </w:tcPr>
          <w:p w:rsidR="00A23182" w:rsidRPr="00110AF4" w:rsidRDefault="00A23182" w:rsidP="007C6924">
            <w:pPr>
              <w:spacing w:line="40" w:lineRule="atLeast"/>
            </w:pPr>
            <w:r w:rsidRPr="00110AF4">
              <w:t>Hyperactive score before</w:t>
            </w:r>
          </w:p>
        </w:tc>
        <w:tc>
          <w:tcPr>
            <w:tcW w:w="1440" w:type="dxa"/>
            <w:shd w:val="clear" w:color="auto" w:fill="FFFFFF"/>
          </w:tcPr>
          <w:p w:rsidR="00A23182" w:rsidRPr="00110AF4" w:rsidRDefault="00A23182" w:rsidP="007C6924">
            <w:pPr>
              <w:spacing w:line="40" w:lineRule="atLeast"/>
            </w:pPr>
            <w:r w:rsidRPr="00110AF4">
              <w:t>72.92</w:t>
            </w:r>
          </w:p>
        </w:tc>
        <w:tc>
          <w:tcPr>
            <w:tcW w:w="1170" w:type="dxa"/>
            <w:shd w:val="clear" w:color="auto" w:fill="FFFFFF"/>
          </w:tcPr>
          <w:p w:rsidR="00A23182" w:rsidRPr="00110AF4" w:rsidRDefault="00A23182" w:rsidP="007C6924">
            <w:pPr>
              <w:spacing w:line="40" w:lineRule="atLeast"/>
            </w:pPr>
            <w:r w:rsidRPr="00110AF4">
              <w:t>7.33</w:t>
            </w:r>
          </w:p>
        </w:tc>
        <w:tc>
          <w:tcPr>
            <w:tcW w:w="1440" w:type="dxa"/>
            <w:vMerge w:val="restart"/>
            <w:shd w:val="clear" w:color="auto" w:fill="FFFFFF"/>
            <w:vAlign w:val="center"/>
          </w:tcPr>
          <w:p w:rsidR="00A23182" w:rsidRPr="00110AF4" w:rsidRDefault="00A23182" w:rsidP="007C6924">
            <w:pPr>
              <w:spacing w:line="40" w:lineRule="atLeast"/>
            </w:pPr>
            <w:r w:rsidRPr="00110AF4">
              <w:t>1.61</w:t>
            </w:r>
          </w:p>
        </w:tc>
        <w:tc>
          <w:tcPr>
            <w:tcW w:w="1170" w:type="dxa"/>
            <w:vMerge w:val="restart"/>
            <w:shd w:val="clear" w:color="auto" w:fill="FFFFFF"/>
            <w:vAlign w:val="center"/>
          </w:tcPr>
          <w:p w:rsidR="00A23182" w:rsidRPr="00110AF4" w:rsidRDefault="00A23182" w:rsidP="007C6924">
            <w:pPr>
              <w:spacing w:line="40" w:lineRule="atLeast"/>
            </w:pPr>
            <w:r w:rsidRPr="00110AF4">
              <w:t>0.134</w:t>
            </w:r>
          </w:p>
        </w:tc>
      </w:tr>
      <w:tr w:rsidR="00A23182" w:rsidRPr="00110AF4">
        <w:trPr>
          <w:cantSplit/>
          <w:tblHeader/>
          <w:jc w:val="center"/>
        </w:trPr>
        <w:tc>
          <w:tcPr>
            <w:tcW w:w="3060" w:type="dxa"/>
            <w:shd w:val="clear" w:color="auto" w:fill="FFFFFF"/>
            <w:vAlign w:val="center"/>
          </w:tcPr>
          <w:p w:rsidR="00A23182" w:rsidRPr="00110AF4" w:rsidRDefault="00A23182" w:rsidP="007C6924">
            <w:pPr>
              <w:spacing w:line="40" w:lineRule="atLeast"/>
            </w:pPr>
            <w:r w:rsidRPr="00110AF4">
              <w:t>Hyperactive score after</w:t>
            </w:r>
          </w:p>
        </w:tc>
        <w:tc>
          <w:tcPr>
            <w:tcW w:w="1440" w:type="dxa"/>
            <w:shd w:val="clear" w:color="auto" w:fill="FFFFFF"/>
          </w:tcPr>
          <w:p w:rsidR="00A23182" w:rsidRPr="00110AF4" w:rsidRDefault="00A23182" w:rsidP="007C6924">
            <w:pPr>
              <w:spacing w:line="40" w:lineRule="atLeast"/>
            </w:pPr>
            <w:r w:rsidRPr="00110AF4">
              <w:t>71.38</w:t>
            </w:r>
          </w:p>
        </w:tc>
        <w:tc>
          <w:tcPr>
            <w:tcW w:w="1170" w:type="dxa"/>
            <w:shd w:val="clear" w:color="auto" w:fill="FFFFFF"/>
          </w:tcPr>
          <w:p w:rsidR="00A23182" w:rsidRPr="00110AF4" w:rsidRDefault="00A23182" w:rsidP="007C6924">
            <w:pPr>
              <w:spacing w:line="40" w:lineRule="atLeast"/>
            </w:pPr>
            <w:r w:rsidRPr="00110AF4">
              <w:t>8.74</w:t>
            </w:r>
          </w:p>
        </w:tc>
        <w:tc>
          <w:tcPr>
            <w:tcW w:w="1440" w:type="dxa"/>
            <w:vMerge/>
            <w:shd w:val="clear" w:color="auto" w:fill="FFFFFF"/>
          </w:tcPr>
          <w:p w:rsidR="00A23182" w:rsidRPr="00110AF4" w:rsidRDefault="00A23182" w:rsidP="007C6924">
            <w:pPr>
              <w:spacing w:line="40" w:lineRule="atLeast"/>
            </w:pPr>
          </w:p>
        </w:tc>
        <w:tc>
          <w:tcPr>
            <w:tcW w:w="1170" w:type="dxa"/>
            <w:vMerge/>
            <w:shd w:val="clear" w:color="auto" w:fill="FFFFFF"/>
          </w:tcPr>
          <w:p w:rsidR="00A23182" w:rsidRPr="00110AF4" w:rsidRDefault="00A23182" w:rsidP="007C6924">
            <w:pPr>
              <w:spacing w:line="40" w:lineRule="atLeast"/>
            </w:pPr>
          </w:p>
        </w:tc>
      </w:tr>
      <w:tr w:rsidR="00A23182" w:rsidRPr="00110AF4">
        <w:trPr>
          <w:cantSplit/>
          <w:tblHeader/>
          <w:jc w:val="center"/>
        </w:trPr>
        <w:tc>
          <w:tcPr>
            <w:tcW w:w="3060" w:type="dxa"/>
            <w:shd w:val="clear" w:color="auto" w:fill="FFFFFF"/>
            <w:vAlign w:val="center"/>
          </w:tcPr>
          <w:p w:rsidR="00A23182" w:rsidRPr="00110AF4" w:rsidRDefault="00A23182" w:rsidP="007C6924">
            <w:pPr>
              <w:spacing w:line="40" w:lineRule="atLeast"/>
            </w:pPr>
            <w:r w:rsidRPr="00110AF4">
              <w:t>Difference</w:t>
            </w:r>
          </w:p>
        </w:tc>
        <w:tc>
          <w:tcPr>
            <w:tcW w:w="1440" w:type="dxa"/>
            <w:shd w:val="clear" w:color="auto" w:fill="FFFFFF"/>
          </w:tcPr>
          <w:p w:rsidR="00A23182" w:rsidRPr="00110AF4" w:rsidRDefault="00A23182" w:rsidP="007C6924">
            <w:pPr>
              <w:spacing w:line="40" w:lineRule="atLeast"/>
            </w:pPr>
            <w:r w:rsidRPr="00110AF4">
              <w:t>1.54</w:t>
            </w:r>
          </w:p>
        </w:tc>
        <w:tc>
          <w:tcPr>
            <w:tcW w:w="1170" w:type="dxa"/>
            <w:shd w:val="clear" w:color="auto" w:fill="FFFFFF"/>
          </w:tcPr>
          <w:p w:rsidR="00A23182" w:rsidRPr="00110AF4" w:rsidRDefault="00A23182" w:rsidP="007C6924">
            <w:pPr>
              <w:spacing w:line="40" w:lineRule="atLeast"/>
            </w:pPr>
            <w:r w:rsidRPr="00110AF4">
              <w:t>3.45</w:t>
            </w:r>
          </w:p>
        </w:tc>
        <w:tc>
          <w:tcPr>
            <w:tcW w:w="1440" w:type="dxa"/>
            <w:vMerge/>
            <w:shd w:val="clear" w:color="auto" w:fill="FFFFFF"/>
          </w:tcPr>
          <w:p w:rsidR="00A23182" w:rsidRPr="00110AF4" w:rsidRDefault="00A23182" w:rsidP="007C6924">
            <w:pPr>
              <w:spacing w:line="40" w:lineRule="atLeast"/>
            </w:pPr>
          </w:p>
        </w:tc>
        <w:tc>
          <w:tcPr>
            <w:tcW w:w="1170" w:type="dxa"/>
            <w:vMerge/>
            <w:shd w:val="clear" w:color="auto" w:fill="FFFFFF"/>
          </w:tcPr>
          <w:p w:rsidR="00A23182" w:rsidRPr="00110AF4" w:rsidRDefault="00A23182" w:rsidP="007C6924">
            <w:pPr>
              <w:spacing w:line="40" w:lineRule="atLeast"/>
            </w:pPr>
          </w:p>
        </w:tc>
      </w:tr>
    </w:tbl>
    <w:p w:rsidR="00A23182" w:rsidRPr="00110AF4" w:rsidRDefault="00A23182" w:rsidP="007C6924">
      <w:pPr>
        <w:autoSpaceDE w:val="0"/>
        <w:autoSpaceDN w:val="0"/>
        <w:adjustRightInd w:val="0"/>
        <w:spacing w:after="0" w:line="360" w:lineRule="auto"/>
        <w:ind w:firstLine="425"/>
        <w:jc w:val="both"/>
      </w:pPr>
      <w:r w:rsidRPr="00110AF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25" type="#_x0000_t75" style="width:365.25pt;height:301.5pt;visibility:visible">
            <v:imagedata r:id="rId7" o:title="" chromakey="#f0f0f0"/>
            <o:lock v:ext="edit" aspectratio="f"/>
          </v:shape>
        </w:pict>
      </w:r>
    </w:p>
    <w:p w:rsidR="00A23182" w:rsidRPr="00110AF4" w:rsidRDefault="00A23182" w:rsidP="007C6924">
      <w:pPr>
        <w:autoSpaceDE w:val="0"/>
        <w:autoSpaceDN w:val="0"/>
        <w:adjustRightInd w:val="0"/>
        <w:spacing w:after="0" w:line="360" w:lineRule="auto"/>
        <w:ind w:firstLine="425"/>
        <w:jc w:val="both"/>
      </w:pPr>
      <w:r w:rsidRPr="00110AF4">
        <w:t>Figure 1: ADHD scale before and after treatment</w:t>
      </w:r>
    </w:p>
    <w:p w:rsidR="00A23182" w:rsidRPr="00110AF4" w:rsidRDefault="00A23182" w:rsidP="007C6924">
      <w:pPr>
        <w:autoSpaceDE w:val="0"/>
        <w:autoSpaceDN w:val="0"/>
        <w:adjustRightInd w:val="0"/>
        <w:spacing w:after="0" w:line="360" w:lineRule="auto"/>
        <w:ind w:firstLine="425"/>
        <w:jc w:val="both"/>
      </w:pPr>
      <w:r w:rsidRPr="00110AF4">
        <w:pict>
          <v:shape id="Picture 9" o:spid="_x0000_i1026" type="#_x0000_t75" style="width:365.25pt;height:294.75pt;visibility:visible">
            <v:imagedata r:id="rId8" o:title="" chromakey="#f0f0f0"/>
            <o:lock v:ext="edit" aspectratio="f"/>
          </v:shape>
        </w:pict>
      </w:r>
    </w:p>
    <w:p w:rsidR="00A23182" w:rsidRPr="00110AF4" w:rsidRDefault="00A23182" w:rsidP="007C6924">
      <w:pPr>
        <w:autoSpaceDE w:val="0"/>
        <w:autoSpaceDN w:val="0"/>
        <w:adjustRightInd w:val="0"/>
        <w:spacing w:after="0" w:line="360" w:lineRule="auto"/>
        <w:ind w:firstLine="425"/>
        <w:jc w:val="both"/>
      </w:pPr>
      <w:r w:rsidRPr="00110AF4">
        <w:t>Figure 2: Mean inattentive score before and after treatment</w:t>
      </w:r>
    </w:p>
    <w:p w:rsidR="00A23182" w:rsidRPr="00110AF4" w:rsidRDefault="00A23182" w:rsidP="007C6924">
      <w:pPr>
        <w:autoSpaceDE w:val="0"/>
        <w:autoSpaceDN w:val="0"/>
        <w:adjustRightInd w:val="0"/>
        <w:spacing w:after="0" w:line="360" w:lineRule="auto"/>
        <w:ind w:firstLine="425"/>
        <w:jc w:val="both"/>
      </w:pPr>
      <w:r w:rsidRPr="00110AF4">
        <w:pict>
          <v:shape id="Picture 1" o:spid="_x0000_i1027" type="#_x0000_t75" style="width:363.75pt;height:292.5pt;visibility:visible">
            <v:imagedata r:id="rId9" o:title="" chromakey="#f0f0f0"/>
          </v:shape>
        </w:pict>
      </w:r>
    </w:p>
    <w:p w:rsidR="00A23182" w:rsidRPr="00110AF4" w:rsidRDefault="00A23182" w:rsidP="007C6924">
      <w:pPr>
        <w:autoSpaceDE w:val="0"/>
        <w:autoSpaceDN w:val="0"/>
        <w:adjustRightInd w:val="0"/>
        <w:spacing w:after="0" w:line="360" w:lineRule="auto"/>
        <w:ind w:firstLine="425"/>
        <w:jc w:val="both"/>
      </w:pPr>
      <w:r w:rsidRPr="00110AF4">
        <w:t>Figure 3: Mean hyperactivity score before and after treatment</w:t>
      </w:r>
    </w:p>
    <w:p w:rsidR="00A23182" w:rsidRPr="00110AF4" w:rsidRDefault="00A23182" w:rsidP="007C6924">
      <w:pPr>
        <w:autoSpaceDE w:val="0"/>
        <w:autoSpaceDN w:val="0"/>
        <w:adjustRightInd w:val="0"/>
        <w:spacing w:after="0" w:line="360" w:lineRule="auto"/>
        <w:ind w:firstLine="425"/>
        <w:jc w:val="both"/>
      </w:pPr>
      <w:r w:rsidRPr="00110AF4">
        <w:t>Carbamazepine was tolerable in most of the cases. Gastric upset was recorded in 3 cases and sedation in 3 cases; 2 of them dropped out for this side effect; while 9 cases had no recorded side effects. Liver enzymes of all patients were within normal levels before as well as after treatment. No cases had dermatologic, hematologic or hepatic side effects (Table 5).</w:t>
      </w:r>
    </w:p>
    <w:p w:rsidR="00A23182" w:rsidRPr="00110AF4" w:rsidRDefault="00A23182" w:rsidP="007C6924">
      <w:pPr>
        <w:autoSpaceDE w:val="0"/>
        <w:autoSpaceDN w:val="0"/>
        <w:adjustRightInd w:val="0"/>
        <w:spacing w:after="0" w:line="360" w:lineRule="auto"/>
        <w:ind w:firstLine="425"/>
        <w:jc w:val="both"/>
      </w:pPr>
      <w:r w:rsidRPr="00110AF4">
        <w:t>Table 5: side effects of CBZ (no. 15)</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05"/>
        <w:gridCol w:w="2810"/>
        <w:gridCol w:w="4289"/>
      </w:tblGrid>
      <w:tr w:rsidR="00A23182" w:rsidRPr="00110AF4">
        <w:trPr>
          <w:cantSplit/>
          <w:tblHeader/>
          <w:jc w:val="center"/>
        </w:trPr>
        <w:tc>
          <w:tcPr>
            <w:tcW w:w="1890" w:type="dxa"/>
            <w:shd w:val="clear" w:color="auto" w:fill="FFFFFF"/>
          </w:tcPr>
          <w:p w:rsidR="00A23182" w:rsidRPr="00110AF4" w:rsidRDefault="00A23182" w:rsidP="007C6924">
            <w:pPr>
              <w:spacing w:line="40" w:lineRule="atLeast"/>
            </w:pPr>
          </w:p>
        </w:tc>
        <w:tc>
          <w:tcPr>
            <w:tcW w:w="1710" w:type="dxa"/>
            <w:shd w:val="clear" w:color="auto" w:fill="FFFFFF"/>
            <w:vAlign w:val="center"/>
          </w:tcPr>
          <w:p w:rsidR="00A23182" w:rsidRPr="00110AF4" w:rsidRDefault="00A23182" w:rsidP="007C6924">
            <w:pPr>
              <w:spacing w:line="40" w:lineRule="atLeast"/>
            </w:pPr>
            <w:r w:rsidRPr="00110AF4">
              <w:t>N</w:t>
            </w:r>
          </w:p>
        </w:tc>
        <w:tc>
          <w:tcPr>
            <w:tcW w:w="2610" w:type="dxa"/>
            <w:shd w:val="clear" w:color="auto" w:fill="FFFFFF"/>
            <w:vAlign w:val="center"/>
          </w:tcPr>
          <w:p w:rsidR="00A23182" w:rsidRPr="00110AF4" w:rsidRDefault="00A23182" w:rsidP="007C6924">
            <w:pPr>
              <w:spacing w:line="40" w:lineRule="atLeast"/>
            </w:pPr>
            <w:r w:rsidRPr="00110AF4">
              <w:t>%</w:t>
            </w:r>
          </w:p>
        </w:tc>
      </w:tr>
      <w:tr w:rsidR="00A23182" w:rsidRPr="00110AF4">
        <w:trPr>
          <w:cantSplit/>
          <w:tblHeader/>
          <w:jc w:val="center"/>
        </w:trPr>
        <w:tc>
          <w:tcPr>
            <w:tcW w:w="1890" w:type="dxa"/>
            <w:shd w:val="clear" w:color="auto" w:fill="FFFFFF"/>
            <w:vAlign w:val="center"/>
          </w:tcPr>
          <w:p w:rsidR="00A23182" w:rsidRPr="00110AF4" w:rsidRDefault="00A23182" w:rsidP="007C6924">
            <w:pPr>
              <w:spacing w:line="40" w:lineRule="atLeast"/>
            </w:pPr>
            <w:r w:rsidRPr="00110AF4">
              <w:t>No</w:t>
            </w:r>
          </w:p>
        </w:tc>
        <w:tc>
          <w:tcPr>
            <w:tcW w:w="1710" w:type="dxa"/>
            <w:shd w:val="clear" w:color="auto" w:fill="FFFFFF"/>
            <w:vAlign w:val="center"/>
          </w:tcPr>
          <w:p w:rsidR="00A23182" w:rsidRPr="00110AF4" w:rsidRDefault="00A23182" w:rsidP="007C6924">
            <w:pPr>
              <w:spacing w:line="40" w:lineRule="atLeast"/>
            </w:pPr>
            <w:r w:rsidRPr="00110AF4">
              <w:t>9</w:t>
            </w:r>
          </w:p>
        </w:tc>
        <w:tc>
          <w:tcPr>
            <w:tcW w:w="2610" w:type="dxa"/>
            <w:shd w:val="clear" w:color="auto" w:fill="FFFFFF"/>
            <w:vAlign w:val="center"/>
          </w:tcPr>
          <w:p w:rsidR="00A23182" w:rsidRPr="00110AF4" w:rsidRDefault="00A23182" w:rsidP="007C6924">
            <w:pPr>
              <w:spacing w:line="40" w:lineRule="atLeast"/>
            </w:pPr>
            <w:r w:rsidRPr="00110AF4">
              <w:t>60.0</w:t>
            </w:r>
          </w:p>
        </w:tc>
      </w:tr>
      <w:tr w:rsidR="00A23182" w:rsidRPr="00110AF4">
        <w:trPr>
          <w:cantSplit/>
          <w:tblHeader/>
          <w:jc w:val="center"/>
        </w:trPr>
        <w:tc>
          <w:tcPr>
            <w:tcW w:w="1890" w:type="dxa"/>
            <w:shd w:val="clear" w:color="auto" w:fill="FFFFFF"/>
            <w:vAlign w:val="center"/>
          </w:tcPr>
          <w:p w:rsidR="00A23182" w:rsidRPr="00110AF4" w:rsidRDefault="00A23182" w:rsidP="007C6924">
            <w:pPr>
              <w:spacing w:line="40" w:lineRule="atLeast"/>
            </w:pPr>
            <w:r w:rsidRPr="00110AF4">
              <w:t>GIT distress</w:t>
            </w:r>
          </w:p>
        </w:tc>
        <w:tc>
          <w:tcPr>
            <w:tcW w:w="1710" w:type="dxa"/>
            <w:shd w:val="clear" w:color="auto" w:fill="FFFFFF"/>
            <w:vAlign w:val="center"/>
          </w:tcPr>
          <w:p w:rsidR="00A23182" w:rsidRPr="00110AF4" w:rsidRDefault="00A23182" w:rsidP="007C6924">
            <w:pPr>
              <w:spacing w:line="40" w:lineRule="atLeast"/>
            </w:pPr>
            <w:r w:rsidRPr="00110AF4">
              <w:t>3</w:t>
            </w:r>
          </w:p>
        </w:tc>
        <w:tc>
          <w:tcPr>
            <w:tcW w:w="2610" w:type="dxa"/>
            <w:shd w:val="clear" w:color="auto" w:fill="FFFFFF"/>
            <w:vAlign w:val="center"/>
          </w:tcPr>
          <w:p w:rsidR="00A23182" w:rsidRPr="00110AF4" w:rsidRDefault="00A23182" w:rsidP="007C6924">
            <w:pPr>
              <w:spacing w:line="40" w:lineRule="atLeast"/>
            </w:pPr>
            <w:r w:rsidRPr="00110AF4">
              <w:t>20.0</w:t>
            </w:r>
          </w:p>
        </w:tc>
      </w:tr>
      <w:tr w:rsidR="00A23182" w:rsidRPr="00110AF4">
        <w:trPr>
          <w:cantSplit/>
          <w:trHeight w:val="51"/>
          <w:tblHeader/>
          <w:jc w:val="center"/>
        </w:trPr>
        <w:tc>
          <w:tcPr>
            <w:tcW w:w="1890" w:type="dxa"/>
            <w:shd w:val="clear" w:color="auto" w:fill="FFFFFF"/>
            <w:vAlign w:val="center"/>
          </w:tcPr>
          <w:p w:rsidR="00A23182" w:rsidRPr="00110AF4" w:rsidRDefault="00A23182" w:rsidP="007C6924">
            <w:pPr>
              <w:spacing w:line="40" w:lineRule="atLeast"/>
            </w:pPr>
            <w:r w:rsidRPr="00110AF4">
              <w:t>sedation</w:t>
            </w:r>
          </w:p>
        </w:tc>
        <w:tc>
          <w:tcPr>
            <w:tcW w:w="1710" w:type="dxa"/>
            <w:shd w:val="clear" w:color="auto" w:fill="FFFFFF"/>
            <w:vAlign w:val="center"/>
          </w:tcPr>
          <w:p w:rsidR="00A23182" w:rsidRPr="00110AF4" w:rsidRDefault="00A23182" w:rsidP="007C6924">
            <w:pPr>
              <w:spacing w:line="40" w:lineRule="atLeast"/>
            </w:pPr>
            <w:r w:rsidRPr="00110AF4">
              <w:t>3</w:t>
            </w:r>
          </w:p>
        </w:tc>
        <w:tc>
          <w:tcPr>
            <w:tcW w:w="2610" w:type="dxa"/>
            <w:shd w:val="clear" w:color="auto" w:fill="FFFFFF"/>
            <w:vAlign w:val="center"/>
          </w:tcPr>
          <w:p w:rsidR="00A23182" w:rsidRPr="00110AF4" w:rsidRDefault="00A23182" w:rsidP="007C6924">
            <w:pPr>
              <w:spacing w:line="40" w:lineRule="atLeast"/>
            </w:pPr>
            <w:r w:rsidRPr="00110AF4">
              <w:t>20.0</w:t>
            </w:r>
          </w:p>
        </w:tc>
      </w:tr>
      <w:tr w:rsidR="00A23182" w:rsidRPr="00110AF4">
        <w:trPr>
          <w:cantSplit/>
          <w:tblHeader/>
          <w:jc w:val="center"/>
        </w:trPr>
        <w:tc>
          <w:tcPr>
            <w:tcW w:w="1890" w:type="dxa"/>
            <w:shd w:val="clear" w:color="auto" w:fill="FFFFFF"/>
            <w:vAlign w:val="center"/>
          </w:tcPr>
          <w:p w:rsidR="00A23182" w:rsidRPr="00110AF4" w:rsidRDefault="00A23182" w:rsidP="007C6924">
            <w:pPr>
              <w:spacing w:line="40" w:lineRule="atLeast"/>
            </w:pPr>
            <w:r w:rsidRPr="00110AF4">
              <w:t>Dermatological reactions</w:t>
            </w:r>
          </w:p>
        </w:tc>
        <w:tc>
          <w:tcPr>
            <w:tcW w:w="1710" w:type="dxa"/>
            <w:shd w:val="clear" w:color="auto" w:fill="FFFFFF"/>
            <w:vAlign w:val="center"/>
          </w:tcPr>
          <w:p w:rsidR="00A23182" w:rsidRPr="00110AF4" w:rsidRDefault="00A23182" w:rsidP="007C6924">
            <w:pPr>
              <w:spacing w:line="40" w:lineRule="atLeast"/>
            </w:pPr>
            <w:r w:rsidRPr="00110AF4">
              <w:t>0</w:t>
            </w:r>
          </w:p>
        </w:tc>
        <w:tc>
          <w:tcPr>
            <w:tcW w:w="2610" w:type="dxa"/>
            <w:shd w:val="clear" w:color="auto" w:fill="FFFFFF"/>
            <w:vAlign w:val="center"/>
          </w:tcPr>
          <w:p w:rsidR="00A23182" w:rsidRPr="00110AF4" w:rsidRDefault="00A23182" w:rsidP="007C6924">
            <w:pPr>
              <w:spacing w:line="40" w:lineRule="atLeast"/>
            </w:pPr>
            <w:r w:rsidRPr="00110AF4">
              <w:t>0</w:t>
            </w:r>
          </w:p>
        </w:tc>
      </w:tr>
      <w:tr w:rsidR="00A23182" w:rsidRPr="00110AF4">
        <w:trPr>
          <w:cantSplit/>
          <w:tblHeader/>
          <w:jc w:val="center"/>
        </w:trPr>
        <w:tc>
          <w:tcPr>
            <w:tcW w:w="1890" w:type="dxa"/>
            <w:shd w:val="clear" w:color="auto" w:fill="FFFFFF"/>
            <w:vAlign w:val="center"/>
          </w:tcPr>
          <w:p w:rsidR="00A23182" w:rsidRPr="00110AF4" w:rsidRDefault="00A23182" w:rsidP="007C6924">
            <w:pPr>
              <w:spacing w:line="40" w:lineRule="atLeast"/>
            </w:pPr>
            <w:r w:rsidRPr="00110AF4">
              <w:t>Hematological reaction</w:t>
            </w:r>
          </w:p>
        </w:tc>
        <w:tc>
          <w:tcPr>
            <w:tcW w:w="1710" w:type="dxa"/>
            <w:shd w:val="clear" w:color="auto" w:fill="FFFFFF"/>
            <w:vAlign w:val="center"/>
          </w:tcPr>
          <w:p w:rsidR="00A23182" w:rsidRPr="00110AF4" w:rsidRDefault="00A23182" w:rsidP="007C6924">
            <w:pPr>
              <w:spacing w:line="40" w:lineRule="atLeast"/>
            </w:pPr>
            <w:r w:rsidRPr="00110AF4">
              <w:t>0</w:t>
            </w:r>
          </w:p>
        </w:tc>
        <w:tc>
          <w:tcPr>
            <w:tcW w:w="2610" w:type="dxa"/>
            <w:shd w:val="clear" w:color="auto" w:fill="FFFFFF"/>
            <w:vAlign w:val="center"/>
          </w:tcPr>
          <w:p w:rsidR="00A23182" w:rsidRPr="00110AF4" w:rsidRDefault="00A23182" w:rsidP="007C6924">
            <w:pPr>
              <w:spacing w:line="40" w:lineRule="atLeast"/>
            </w:pPr>
            <w:r w:rsidRPr="00110AF4">
              <w:t>0</w:t>
            </w:r>
          </w:p>
        </w:tc>
      </w:tr>
    </w:tbl>
    <w:p w:rsidR="00A23182" w:rsidRPr="00110AF4" w:rsidRDefault="00A23182" w:rsidP="007C6924">
      <w:pPr>
        <w:autoSpaceDE w:val="0"/>
        <w:autoSpaceDN w:val="0"/>
        <w:adjustRightInd w:val="0"/>
        <w:spacing w:after="0" w:line="360" w:lineRule="auto"/>
        <w:ind w:firstLine="425"/>
        <w:jc w:val="both"/>
      </w:pPr>
    </w:p>
    <w:p w:rsidR="00A23182" w:rsidRPr="00110AF4" w:rsidRDefault="00A23182" w:rsidP="007C6924">
      <w:pPr>
        <w:autoSpaceDE w:val="0"/>
        <w:autoSpaceDN w:val="0"/>
        <w:adjustRightInd w:val="0"/>
        <w:spacing w:after="0" w:line="360" w:lineRule="auto"/>
        <w:ind w:firstLine="425"/>
        <w:jc w:val="both"/>
      </w:pPr>
      <w:r w:rsidRPr="00110AF4">
        <w:t>Discussion:</w:t>
      </w:r>
    </w:p>
    <w:p w:rsidR="00A23182" w:rsidRPr="00110AF4" w:rsidRDefault="00A23182" w:rsidP="007C6924">
      <w:pPr>
        <w:autoSpaceDE w:val="0"/>
        <w:autoSpaceDN w:val="0"/>
        <w:adjustRightInd w:val="0"/>
        <w:spacing w:after="0" w:line="360" w:lineRule="auto"/>
        <w:ind w:firstLine="425"/>
        <w:jc w:val="both"/>
      </w:pPr>
      <w:r w:rsidRPr="00110AF4">
        <w:t>The results of this study show that low dose carbamazepine appears to be an effective and well tolerated drug in selected cases of pediatric ADHD; namely those with EEG abnormalities and predominant inattentive symptoms. Adverse effects reported in this study are fewer and less severe than those reported in higher doses used in cases of epilepsy.  Reported side effects were sedation and abdominal discomfort which was tolerated by all the patients.</w:t>
      </w:r>
    </w:p>
    <w:p w:rsidR="00A23182" w:rsidRPr="00110AF4" w:rsidRDefault="00A23182" w:rsidP="007C6924">
      <w:pPr>
        <w:autoSpaceDE w:val="0"/>
        <w:autoSpaceDN w:val="0"/>
        <w:adjustRightInd w:val="0"/>
        <w:spacing w:after="0" w:line="360" w:lineRule="auto"/>
        <w:ind w:firstLine="425"/>
        <w:jc w:val="both"/>
      </w:pPr>
      <w:r w:rsidRPr="00110AF4">
        <w:t>The efficacy of CBZ in ADHD children included in this study can be explained by its antiepileptic activity. Electrophysiological abnormality is a common and well studied finding in EEG of ADHD patients (Quintanaa et al 2007, Socanski et al, 2010). The relation between abnormal EEG findings and behavioral or cognitive disturbances in children is an area of debate. Some studies suggest positive relation between EEG findings and behavioral disinhibition and poor concentration in children. This hypothesis is supported by the fact that children with epilepsy have higher rates of externalizing behaviors and aggression as compared to normal peers (Guidetti et al, 2015) and that they also have cognitive difficulties. Both cognitive and behavioral disturbances in epileptic children improve with good epilepsy control using antiepileptic drugs (Powell et al, 2015).</w:t>
      </w:r>
    </w:p>
    <w:p w:rsidR="00A23182" w:rsidRPr="00110AF4" w:rsidRDefault="00A23182" w:rsidP="007C6924">
      <w:pPr>
        <w:autoSpaceDE w:val="0"/>
        <w:autoSpaceDN w:val="0"/>
        <w:adjustRightInd w:val="0"/>
        <w:spacing w:after="0" w:line="360" w:lineRule="auto"/>
        <w:ind w:firstLine="425"/>
        <w:jc w:val="both"/>
      </w:pPr>
      <w:r w:rsidRPr="00110AF4">
        <w:t>On the other hand, some studies hypothesize that both EEG abnormalities and misbehavior have the same etiological bases rather than having a causal relation (Tarullo et al, 2011, Niv et al, 2015).</w:t>
      </w:r>
    </w:p>
    <w:p w:rsidR="00A23182" w:rsidRPr="00110AF4" w:rsidRDefault="00A23182" w:rsidP="007C6924">
      <w:pPr>
        <w:autoSpaceDE w:val="0"/>
        <w:autoSpaceDN w:val="0"/>
        <w:adjustRightInd w:val="0"/>
        <w:spacing w:after="0" w:line="360" w:lineRule="auto"/>
        <w:ind w:firstLine="425"/>
        <w:jc w:val="both"/>
      </w:pPr>
      <w:r w:rsidRPr="00110AF4">
        <w:t>Based on the assumption that cognitive and behavioral symptoms of ADHD may be related to abnormal electrophysiological activity, many clinical trials used different modalities to improve ADHD symptoms through normalization of EEG power in non epileptic ADHD children using antiepileptic drugs (Laporte et al, 2002, Eun et al, 2012).</w:t>
      </w:r>
    </w:p>
    <w:p w:rsidR="00A23182" w:rsidRPr="00110AF4" w:rsidRDefault="00A23182" w:rsidP="007C6924">
      <w:pPr>
        <w:autoSpaceDE w:val="0"/>
        <w:autoSpaceDN w:val="0"/>
        <w:adjustRightInd w:val="0"/>
        <w:spacing w:after="0" w:line="360" w:lineRule="auto"/>
        <w:ind w:firstLine="425"/>
        <w:jc w:val="both"/>
      </w:pPr>
      <w:r w:rsidRPr="00110AF4">
        <w:t>In the current study, there was significant improvement in the mean ADHD scale scores yet, the degree of improvement was not so evident as the scores remained in the moderate to high severity category after treatment.</w:t>
      </w:r>
    </w:p>
    <w:p w:rsidR="00A23182" w:rsidRPr="00110AF4" w:rsidRDefault="00A23182" w:rsidP="007C6924">
      <w:pPr>
        <w:autoSpaceDE w:val="0"/>
        <w:autoSpaceDN w:val="0"/>
        <w:adjustRightInd w:val="0"/>
        <w:spacing w:after="0" w:line="360" w:lineRule="auto"/>
        <w:ind w:firstLine="425"/>
        <w:jc w:val="both"/>
      </w:pPr>
      <w:r w:rsidRPr="00110AF4">
        <w:t>Studies that assess the efficacy of CBZ in non epileptic ADHD patients are few and outdated. The results of current study are in concordance with an old metaanalysis that included data from 10 clinical trials of CBZ in cases of ADHD. Authors concluded that CBZ can be an effective alternative treatment in cases of ADHD (Silva et al, 1996).</w:t>
      </w:r>
    </w:p>
    <w:p w:rsidR="00A23182" w:rsidRPr="00110AF4" w:rsidRDefault="00A23182" w:rsidP="007C6924">
      <w:pPr>
        <w:autoSpaceDE w:val="0"/>
        <w:autoSpaceDN w:val="0"/>
        <w:adjustRightInd w:val="0"/>
        <w:spacing w:after="0" w:line="360" w:lineRule="auto"/>
        <w:ind w:firstLine="425"/>
        <w:jc w:val="both"/>
      </w:pPr>
      <w:r w:rsidRPr="00110AF4">
        <w:t>Other studies found similar effect of CBZ on ADHD symptoms in epileptic children. A multicenter, randomized, open-label, observer blinded 28 weeks clinical trial held by Kang and colleagues to compare the cognitive and behavioral effects of CBZ (n. 43) and topiramate (n. 45) on children with benign Rolandic epilepsy. They found that attention and concentration improved with both drugs (Kang et al, 2007).</w:t>
      </w:r>
    </w:p>
    <w:p w:rsidR="00A23182" w:rsidRPr="00110AF4" w:rsidRDefault="00A23182" w:rsidP="007C6924">
      <w:pPr>
        <w:autoSpaceDE w:val="0"/>
        <w:autoSpaceDN w:val="0"/>
        <w:adjustRightInd w:val="0"/>
        <w:spacing w:after="0" w:line="360" w:lineRule="auto"/>
        <w:ind w:firstLine="425"/>
        <w:jc w:val="both"/>
      </w:pPr>
      <w:r w:rsidRPr="00110AF4">
        <w:t>However, results of CBZ effect on attention are conflicting, which may be due to selection bias or dosing (Ijff and Aldenkamp 2012). A large double blind study to compare the cognitive effects of 200-600 mg/day CBZ (n.= 288) and remacemide (n. 282) on newly diagnosed epileptic patients 12- 75 years old found a deterioration in attention of CBZ treated patients when measured 80 weeks after initiation (Wesnes et al, 2009). Another recent large retrospective study of 258 epileptic adults under CBZ treatment found intolerable cognitive side effects in 5% of cases. Most of them (2.6%) had impairment in memory while 1.6% had decreased concentration (Javed et al, 2015).</w:t>
      </w:r>
    </w:p>
    <w:p w:rsidR="00A23182" w:rsidRPr="00110AF4" w:rsidRDefault="00A23182" w:rsidP="007C6924">
      <w:pPr>
        <w:autoSpaceDE w:val="0"/>
        <w:autoSpaceDN w:val="0"/>
        <w:adjustRightInd w:val="0"/>
        <w:spacing w:after="0" w:line="360" w:lineRule="auto"/>
        <w:ind w:firstLine="425"/>
        <w:jc w:val="both"/>
      </w:pPr>
      <w:r w:rsidRPr="00110AF4">
        <w:t>Other studies of CBZ in epileptic cases found no effect on attention. Äikiä and colleagues used pooled analysis of two long term follow up studies to compare cognitive effects of CBZ, tiagabine and untreated no drug on patients (12-52 years old) with single epileptic fit for 52 weeks. They found improvement in attention of both CBZ (400-800 mg/day) and tiagabine treated groups but it was similar to no drug group. They concluded that both drugs do not hinder the normal cognitive development of treated patients (Äikiä et al, 2006). Another study comparing the cognitive effects of oxcarbazepine, carbamazepine and valproate for 6 month duration in a sample of children 6-17 years with partial epilepsy found no impairment in cognitive abilities under any of studied drugs (Donati et al, 2007). Similarly, Bozinovska and colleagues investigated the effect of CBZ on attention and reaction time after 1 month of treatment. They included 15 adult patients with epilepsy and 15 healthy controls. No difference in attention was found (Bozinovska et al, 2006).</w:t>
      </w:r>
    </w:p>
    <w:p w:rsidR="00A23182" w:rsidRPr="00110AF4" w:rsidRDefault="00A23182" w:rsidP="007C6924">
      <w:pPr>
        <w:autoSpaceDE w:val="0"/>
        <w:autoSpaceDN w:val="0"/>
        <w:adjustRightInd w:val="0"/>
        <w:spacing w:after="0" w:line="360" w:lineRule="auto"/>
        <w:ind w:firstLine="425"/>
        <w:jc w:val="both"/>
      </w:pPr>
      <w:r w:rsidRPr="00110AF4">
        <w:t>These differences in findings can be explained by selection bias. Most studies addressing the cognitive effects of CBZ on children use newly diagnosed epileptic children as a study sample. For ethical issues, those patients can’t be studied under placebo to be compared to CBZ. Thus, the deterioration of cognitive function observed in these studies can be either the effect of the drug or the burden of epilepsy itself. Another explanation can be the difference of CBZ dose in various studies as the neuropsychological side effects can be dose-dependent (Meador, 2005).</w:t>
      </w:r>
    </w:p>
    <w:p w:rsidR="00A23182" w:rsidRPr="00110AF4" w:rsidRDefault="00A23182" w:rsidP="007C6924">
      <w:pPr>
        <w:autoSpaceDE w:val="0"/>
        <w:autoSpaceDN w:val="0"/>
        <w:adjustRightInd w:val="0"/>
        <w:spacing w:after="0" w:line="360" w:lineRule="auto"/>
        <w:ind w:firstLine="425"/>
        <w:jc w:val="both"/>
      </w:pPr>
      <w:r w:rsidRPr="00110AF4">
        <w:t>None of previous studies investigated the relation between cognitive effects of CBZ and its serum level.</w:t>
      </w:r>
    </w:p>
    <w:p w:rsidR="00A23182" w:rsidRPr="00110AF4" w:rsidRDefault="00A23182" w:rsidP="007C6924">
      <w:pPr>
        <w:autoSpaceDE w:val="0"/>
        <w:autoSpaceDN w:val="0"/>
        <w:adjustRightInd w:val="0"/>
        <w:spacing w:after="0" w:line="360" w:lineRule="auto"/>
        <w:ind w:firstLine="425"/>
        <w:jc w:val="both"/>
      </w:pPr>
      <w:r w:rsidRPr="00110AF4">
        <w:t>The results of the current study should be viewed in light of its methodological limitations.</w:t>
      </w:r>
    </w:p>
    <w:p w:rsidR="00A23182" w:rsidRPr="00110AF4" w:rsidRDefault="00A23182" w:rsidP="007C6924">
      <w:pPr>
        <w:autoSpaceDE w:val="0"/>
        <w:autoSpaceDN w:val="0"/>
        <w:adjustRightInd w:val="0"/>
        <w:spacing w:after="0" w:line="360" w:lineRule="auto"/>
        <w:ind w:firstLine="425"/>
        <w:jc w:val="both"/>
      </w:pPr>
      <w:r w:rsidRPr="00110AF4">
        <w:t>First; The small number of study sample included and the short duration of study.</w:t>
      </w:r>
    </w:p>
    <w:p w:rsidR="00A23182" w:rsidRPr="00110AF4" w:rsidRDefault="00A23182" w:rsidP="007C6924">
      <w:pPr>
        <w:autoSpaceDE w:val="0"/>
        <w:autoSpaceDN w:val="0"/>
        <w:adjustRightInd w:val="0"/>
        <w:spacing w:after="0" w:line="360" w:lineRule="auto"/>
        <w:ind w:firstLine="425"/>
        <w:jc w:val="both"/>
      </w:pPr>
      <w:r w:rsidRPr="00110AF4">
        <w:t>Second; all the included cases were newly diagnosed children, the effect of parent psycho-education and counseling cannot be excluded. Comparative studies are needed to overcome this limitation.</w:t>
      </w:r>
    </w:p>
    <w:p w:rsidR="00A23182" w:rsidRPr="00110AF4" w:rsidRDefault="00A23182" w:rsidP="007C6924">
      <w:pPr>
        <w:autoSpaceDE w:val="0"/>
        <w:autoSpaceDN w:val="0"/>
        <w:adjustRightInd w:val="0"/>
        <w:spacing w:after="0" w:line="360" w:lineRule="auto"/>
        <w:ind w:firstLine="425"/>
        <w:jc w:val="both"/>
      </w:pPr>
      <w:r w:rsidRPr="00110AF4">
        <w:t>Further, accurate interpretation of specific EEG findings and its correlation to symptoms and drug effect were not available in current study.</w:t>
      </w:r>
    </w:p>
    <w:p w:rsidR="00A23182" w:rsidRPr="00110AF4" w:rsidRDefault="00A23182" w:rsidP="007C6924">
      <w:pPr>
        <w:autoSpaceDE w:val="0"/>
        <w:autoSpaceDN w:val="0"/>
        <w:adjustRightInd w:val="0"/>
        <w:spacing w:after="0" w:line="360" w:lineRule="auto"/>
        <w:ind w:firstLine="425"/>
        <w:jc w:val="both"/>
      </w:pPr>
      <w:r w:rsidRPr="00110AF4">
        <w:t>Finally, serum level was obtained in only 5 cases so, it could not be correlated to clinical improvement.</w:t>
      </w:r>
    </w:p>
    <w:p w:rsidR="00A23182" w:rsidRPr="00110AF4" w:rsidRDefault="00A23182" w:rsidP="007C6924">
      <w:pPr>
        <w:autoSpaceDE w:val="0"/>
        <w:autoSpaceDN w:val="0"/>
        <w:adjustRightInd w:val="0"/>
        <w:spacing w:after="0" w:line="360" w:lineRule="auto"/>
        <w:ind w:firstLine="425"/>
        <w:jc w:val="both"/>
      </w:pPr>
      <w:r w:rsidRPr="00110AF4">
        <w:t>These results couldn’t be taken as granted because the sample was very small.</w:t>
      </w:r>
    </w:p>
    <w:p w:rsidR="00A23182" w:rsidRPr="00110AF4" w:rsidRDefault="00A23182" w:rsidP="007C6924">
      <w:pPr>
        <w:autoSpaceDE w:val="0"/>
        <w:autoSpaceDN w:val="0"/>
        <w:adjustRightInd w:val="0"/>
        <w:spacing w:after="0" w:line="360" w:lineRule="auto"/>
        <w:ind w:firstLine="425"/>
        <w:jc w:val="both"/>
      </w:pPr>
      <w:r w:rsidRPr="00110AF4">
        <w:t>However, these results reflect the efficacy of carbamazepine in a group of ADHD children with EEG changes and this should be taken in consideration in the management of these patients.</w:t>
      </w:r>
    </w:p>
    <w:p w:rsidR="00A23182" w:rsidRPr="00110AF4" w:rsidRDefault="00A23182" w:rsidP="007C6924">
      <w:pPr>
        <w:autoSpaceDE w:val="0"/>
        <w:autoSpaceDN w:val="0"/>
        <w:adjustRightInd w:val="0"/>
        <w:spacing w:after="0" w:line="360" w:lineRule="auto"/>
        <w:ind w:firstLine="425"/>
        <w:jc w:val="both"/>
      </w:pPr>
      <w:r w:rsidRPr="00110AF4">
        <w:t>Moreover, the response of this sector of ADHD patients (with EEG changes) to CBZ should be compared to the classical treatment of ADHD to validate the specialties and the use of antiepileptic drugs notably CBZ in this group of patients.</w:t>
      </w:r>
    </w:p>
    <w:p w:rsidR="00A23182" w:rsidRPr="00110AF4" w:rsidRDefault="00A23182" w:rsidP="007C6924">
      <w:pPr>
        <w:autoSpaceDE w:val="0"/>
        <w:autoSpaceDN w:val="0"/>
        <w:adjustRightInd w:val="0"/>
        <w:spacing w:after="0" w:line="360" w:lineRule="auto"/>
        <w:ind w:firstLine="425"/>
        <w:jc w:val="both"/>
      </w:pPr>
      <w:r w:rsidRPr="00110AF4">
        <w:t>Conclusion:</w:t>
      </w:r>
    </w:p>
    <w:p w:rsidR="00A23182" w:rsidRPr="00110AF4" w:rsidRDefault="00A23182" w:rsidP="007C6924">
      <w:pPr>
        <w:autoSpaceDE w:val="0"/>
        <w:autoSpaceDN w:val="0"/>
        <w:adjustRightInd w:val="0"/>
        <w:spacing w:after="0" w:line="360" w:lineRule="auto"/>
        <w:ind w:firstLine="425"/>
        <w:jc w:val="both"/>
      </w:pPr>
      <w:r w:rsidRPr="00110AF4">
        <w:t>From this study it has been concluded that low dose carbamazepine can be a well tolerated and effective treatment in some cases of attention deficit hyperactivity disorder associated with abnormal electrophysiological findings. Taking in consideration the limitations of this study, further studies on larger samples are needed to generalize the results of the study.</w:t>
      </w:r>
    </w:p>
    <w:p w:rsidR="00A23182" w:rsidRPr="00110AF4" w:rsidRDefault="00A23182" w:rsidP="007C6924">
      <w:pPr>
        <w:autoSpaceDE w:val="0"/>
        <w:autoSpaceDN w:val="0"/>
        <w:adjustRightInd w:val="0"/>
        <w:spacing w:after="0" w:line="360" w:lineRule="auto"/>
        <w:ind w:firstLine="425"/>
        <w:jc w:val="both"/>
      </w:pPr>
      <w:r w:rsidRPr="00110AF4">
        <w:t>References:</w:t>
      </w:r>
    </w:p>
    <w:p w:rsidR="00A23182" w:rsidRPr="00110AF4" w:rsidRDefault="00A23182" w:rsidP="007C6924">
      <w:pPr>
        <w:numPr>
          <w:ilvl w:val="0"/>
          <w:numId w:val="1"/>
        </w:numPr>
        <w:autoSpaceDE w:val="0"/>
        <w:autoSpaceDN w:val="0"/>
        <w:adjustRightInd w:val="0"/>
        <w:spacing w:after="0" w:line="360" w:lineRule="auto"/>
        <w:ind w:left="0" w:firstLine="425"/>
        <w:jc w:val="both"/>
      </w:pPr>
      <w:r w:rsidRPr="00110AF4">
        <w:t>Äikiä, M., Jutila, L., Salmenperä, T., Mervaala, E., &amp;Kälviäinen, R. (2006). Comparison of the Cognitive Effects of Tiagabine and Carbamazepine as Monotherapy in Newly Diagnosed Adult Patients with Partial Epilepsy: Pooled Analysis of Two Long‐term, Randomized, Follow‐up Studies. Epilepsia, 47(7), 1121-1127.</w:t>
      </w:r>
      <w:r w:rsidRPr="00110AF4">
        <w:rPr>
          <w:rFonts w:hint="eastAsia"/>
          <w:rtl/>
        </w:rPr>
        <w:t>‏</w:t>
      </w:r>
    </w:p>
    <w:p w:rsidR="00A23182" w:rsidRPr="00110AF4" w:rsidRDefault="00A23182" w:rsidP="007C6924">
      <w:pPr>
        <w:numPr>
          <w:ilvl w:val="0"/>
          <w:numId w:val="1"/>
        </w:numPr>
        <w:autoSpaceDE w:val="0"/>
        <w:autoSpaceDN w:val="0"/>
        <w:adjustRightInd w:val="0"/>
        <w:spacing w:after="0" w:line="360" w:lineRule="auto"/>
        <w:ind w:left="0" w:firstLine="425"/>
        <w:jc w:val="both"/>
      </w:pPr>
      <w:r w:rsidRPr="00110AF4">
        <w:t>Anbar, RedaFathy (2014). Attention Deficit Hyperactive Disorder among School Age Children in Minoufyia Governorate. thesis(ph.d) - Menofiya University. Faculty of Medicine. Family Medicine Department.</w:t>
      </w:r>
    </w:p>
    <w:p w:rsidR="00A23182" w:rsidRPr="00110AF4" w:rsidRDefault="00A23182" w:rsidP="007C6924">
      <w:pPr>
        <w:numPr>
          <w:ilvl w:val="0"/>
          <w:numId w:val="1"/>
        </w:numPr>
        <w:autoSpaceDE w:val="0"/>
        <w:autoSpaceDN w:val="0"/>
        <w:adjustRightInd w:val="0"/>
        <w:spacing w:after="0" w:line="360" w:lineRule="auto"/>
        <w:ind w:left="0" w:firstLine="425"/>
        <w:jc w:val="both"/>
      </w:pPr>
      <w:r w:rsidRPr="00110AF4">
        <w:t>Bozinovska, L., Mancevska, S., Naumovski, R., Pluncevic, J. H., &amp;Sivevska, E. P. (2006, September). The effect of carbamazepine on reaction time and attention in patients with epilepsy. In International Journal Of Psychophysiology, 61(3), pp. 342-342</w:t>
      </w:r>
    </w:p>
    <w:p w:rsidR="00A23182" w:rsidRPr="00110AF4" w:rsidRDefault="00A23182" w:rsidP="007C6924">
      <w:pPr>
        <w:numPr>
          <w:ilvl w:val="0"/>
          <w:numId w:val="1"/>
        </w:numPr>
        <w:autoSpaceDE w:val="0"/>
        <w:autoSpaceDN w:val="0"/>
        <w:adjustRightInd w:val="0"/>
        <w:spacing w:after="0" w:line="360" w:lineRule="auto"/>
        <w:ind w:left="0" w:firstLine="425"/>
        <w:jc w:val="both"/>
      </w:pPr>
      <w:r w:rsidRPr="00110AF4">
        <w:t>Collett, B. R., Ohan, J. L., &amp; Myers, K. M. (2003). Ten-year review of rating scales. V: scales assessing attention-deficit/hyperactivity disorder. Journal of the American Academy of Child &amp; Adolescent Psychiatry, 42(9), 1015-1037.</w:t>
      </w:r>
      <w:r w:rsidRPr="00110AF4">
        <w:rPr>
          <w:rFonts w:hint="eastAsia"/>
          <w:rtl/>
        </w:rPr>
        <w:t>‏</w:t>
      </w:r>
    </w:p>
    <w:p w:rsidR="00A23182" w:rsidRPr="00110AF4" w:rsidRDefault="00A23182" w:rsidP="007C6924">
      <w:pPr>
        <w:numPr>
          <w:ilvl w:val="0"/>
          <w:numId w:val="1"/>
        </w:numPr>
        <w:autoSpaceDE w:val="0"/>
        <w:autoSpaceDN w:val="0"/>
        <w:adjustRightInd w:val="0"/>
        <w:spacing w:after="0" w:line="360" w:lineRule="auto"/>
        <w:ind w:left="0" w:firstLine="425"/>
        <w:jc w:val="both"/>
      </w:pPr>
      <w:r w:rsidRPr="00110AF4">
        <w:t>Deiana, V., Chillotti, C., Manchia, M., Pinna, M., Ardau, R., Del Zompo, M., &amp;Severino, G. (2011). A Retrospective Case Series of Bipolar Patients With Adjunctive Carbamazepine in Long-Term Lithium Treatment: Evaluation of the Effectiveness. Journal of clinical psychopharmacology, 31(4), 538-540.</w:t>
      </w:r>
      <w:r w:rsidRPr="00110AF4">
        <w:rPr>
          <w:rFonts w:hint="eastAsia"/>
          <w:rtl/>
        </w:rPr>
        <w:t>‏</w:t>
      </w:r>
    </w:p>
    <w:p w:rsidR="00A23182" w:rsidRPr="00110AF4" w:rsidRDefault="00A23182" w:rsidP="007C6924">
      <w:pPr>
        <w:numPr>
          <w:ilvl w:val="0"/>
          <w:numId w:val="1"/>
        </w:numPr>
        <w:autoSpaceDE w:val="0"/>
        <w:autoSpaceDN w:val="0"/>
        <w:adjustRightInd w:val="0"/>
        <w:spacing w:after="0" w:line="360" w:lineRule="auto"/>
        <w:ind w:left="0" w:firstLine="425"/>
        <w:jc w:val="both"/>
      </w:pPr>
      <w:r w:rsidRPr="00110AF4">
        <w:t>Desouky, Mohamed (2004) Attention Deficit Hyperactivity Rating Scale guide, Anglo, Cairo, Egypt</w:t>
      </w:r>
    </w:p>
    <w:p w:rsidR="00A23182" w:rsidRPr="00110AF4" w:rsidRDefault="00A23182" w:rsidP="007C6924">
      <w:pPr>
        <w:numPr>
          <w:ilvl w:val="0"/>
          <w:numId w:val="1"/>
        </w:numPr>
        <w:autoSpaceDE w:val="0"/>
        <w:autoSpaceDN w:val="0"/>
        <w:adjustRightInd w:val="0"/>
        <w:spacing w:after="0" w:line="360" w:lineRule="auto"/>
        <w:ind w:left="0" w:firstLine="425"/>
        <w:jc w:val="both"/>
      </w:pPr>
      <w:r w:rsidRPr="00110AF4">
        <w:t>Donati, F., Gobbi, G., Campistol, J., Rapatz, G., Daehler, M., Sturm, Y., &amp;Aldenkamp, A. P. (2007). The cognitive effects of oxcarbazepine versus carbamazepine or valproate in newly diagnosed children with partial seizures. Seizure, 16(8), 670-679.</w:t>
      </w:r>
      <w:r w:rsidRPr="00110AF4">
        <w:rPr>
          <w:rFonts w:hint="eastAsia"/>
          <w:rtl/>
        </w:rPr>
        <w:t>‏</w:t>
      </w:r>
    </w:p>
    <w:p w:rsidR="00A23182" w:rsidRPr="00110AF4" w:rsidRDefault="00A23182" w:rsidP="007C6924">
      <w:pPr>
        <w:numPr>
          <w:ilvl w:val="0"/>
          <w:numId w:val="1"/>
        </w:numPr>
        <w:autoSpaceDE w:val="0"/>
        <w:autoSpaceDN w:val="0"/>
        <w:adjustRightInd w:val="0"/>
        <w:spacing w:after="0" w:line="360" w:lineRule="auto"/>
        <w:ind w:left="0" w:firstLine="425"/>
        <w:jc w:val="both"/>
      </w:pPr>
      <w:r w:rsidRPr="00110AF4">
        <w:t>Dupuy, Franca, Clarke, Adam R., Barry, Robert J., McCarthy, Rory and Selikowitz, Mark;. (2013). EEG Differences Between the Combined and Inattentive Types of Attention-Deficit/Hyperactivity Disorder in Girls. Clinical EEG and Neuroscience .</w:t>
      </w:r>
    </w:p>
    <w:p w:rsidR="00A23182" w:rsidRPr="00110AF4" w:rsidRDefault="00A23182" w:rsidP="007C6924">
      <w:pPr>
        <w:numPr>
          <w:ilvl w:val="0"/>
          <w:numId w:val="1"/>
        </w:numPr>
        <w:autoSpaceDE w:val="0"/>
        <w:autoSpaceDN w:val="0"/>
        <w:adjustRightInd w:val="0"/>
        <w:spacing w:after="0" w:line="360" w:lineRule="auto"/>
        <w:ind w:left="0" w:firstLine="425"/>
        <w:jc w:val="both"/>
      </w:pPr>
      <w:r w:rsidRPr="00110AF4">
        <w:t>Eun, S. H., Eun, B. L., Lee, J. S., Hwang, Y. S., Kim, K. J., Lee, Y. M., ... &amp;Eom, S. (2012). Effects of lamotrigine on cognition and behavior compared to carbamazepine as monotherapy for children with partial epilepsy. Brain and Development, 34(10), 818-823.</w:t>
      </w:r>
    </w:p>
    <w:p w:rsidR="00A23182" w:rsidRPr="00110AF4" w:rsidRDefault="00A23182" w:rsidP="007C6924">
      <w:pPr>
        <w:numPr>
          <w:ilvl w:val="0"/>
          <w:numId w:val="1"/>
        </w:numPr>
        <w:autoSpaceDE w:val="0"/>
        <w:autoSpaceDN w:val="0"/>
        <w:adjustRightInd w:val="0"/>
        <w:spacing w:after="0" w:line="360" w:lineRule="auto"/>
        <w:ind w:left="0" w:firstLine="425"/>
        <w:jc w:val="both"/>
      </w:pPr>
      <w:r w:rsidRPr="00110AF4">
        <w:t>Guidetti, V., Antonelli, A., Donazzan, S., Faedda, N., Natalucci, G., &amp;Simeoni, S. (2015). P015. Externalizing behaviours in children with headache and epilepsy: a case-control study. The Journal of Headache and Pain, 16(S1), 1-1.</w:t>
      </w:r>
      <w:r w:rsidRPr="00110AF4">
        <w:rPr>
          <w:rFonts w:hint="eastAsia"/>
          <w:rtl/>
        </w:rPr>
        <w:t>‏</w:t>
      </w:r>
    </w:p>
    <w:p w:rsidR="00A23182" w:rsidRPr="00110AF4" w:rsidRDefault="00A23182" w:rsidP="007C6924">
      <w:pPr>
        <w:numPr>
          <w:ilvl w:val="0"/>
          <w:numId w:val="1"/>
        </w:numPr>
        <w:autoSpaceDE w:val="0"/>
        <w:autoSpaceDN w:val="0"/>
        <w:adjustRightInd w:val="0"/>
        <w:spacing w:after="0" w:line="360" w:lineRule="auto"/>
        <w:ind w:left="0" w:firstLine="425"/>
        <w:jc w:val="both"/>
      </w:pPr>
      <w:r w:rsidRPr="00110AF4">
        <w:t>Ijff, D. M., &amp;Aldenkamp, A. P. (2012). Cognitive side-effects of antiepileptic drugs in children. Handbook of clinical neurology, 111, 707-718.</w:t>
      </w:r>
      <w:r w:rsidRPr="00110AF4">
        <w:rPr>
          <w:rFonts w:hint="eastAsia"/>
          <w:rtl/>
        </w:rPr>
        <w:t>‏</w:t>
      </w:r>
    </w:p>
    <w:p w:rsidR="00A23182" w:rsidRPr="00110AF4" w:rsidRDefault="00A23182" w:rsidP="007C6924">
      <w:pPr>
        <w:numPr>
          <w:ilvl w:val="0"/>
          <w:numId w:val="1"/>
        </w:numPr>
        <w:autoSpaceDE w:val="0"/>
        <w:autoSpaceDN w:val="0"/>
        <w:adjustRightInd w:val="0"/>
        <w:spacing w:after="0" w:line="360" w:lineRule="auto"/>
        <w:ind w:left="0" w:firstLine="425"/>
        <w:jc w:val="both"/>
      </w:pPr>
      <w:r w:rsidRPr="00110AF4">
        <w:t>Javed, A., Cohen, B., Detyniecki, K., Hirsch, L. J., Legge, A., Chen, B., ...&amp; Choi, H. (2015). Rates and predictors of patient-reported cognitive side effects of antiepileptic drugs: an extended follow-up. Seizure, 29, 34-40.</w:t>
      </w:r>
      <w:r w:rsidRPr="00110AF4">
        <w:rPr>
          <w:rFonts w:hint="eastAsia"/>
          <w:rtl/>
        </w:rPr>
        <w:t>‏</w:t>
      </w:r>
    </w:p>
    <w:p w:rsidR="00A23182" w:rsidRPr="00110AF4" w:rsidRDefault="00A23182" w:rsidP="007C6924">
      <w:pPr>
        <w:numPr>
          <w:ilvl w:val="0"/>
          <w:numId w:val="1"/>
        </w:numPr>
        <w:autoSpaceDE w:val="0"/>
        <w:autoSpaceDN w:val="0"/>
        <w:adjustRightInd w:val="0"/>
        <w:spacing w:after="0" w:line="360" w:lineRule="auto"/>
        <w:ind w:left="0" w:firstLine="425"/>
        <w:jc w:val="both"/>
      </w:pPr>
      <w:r w:rsidRPr="00110AF4">
        <w:t>Kang, H. C., Eun, B. L., Lee, C. W., Moon, H. K., Kim, J. S., Kim, D. W., ... &amp; Park, J. C. (2007). The effects on cognitive function and behavioral problems of topiramate compared to carbamazepine as monotherapy for children with benign rolandic epilepsy. Epilepsia, 48(9), 1716-1723.</w:t>
      </w:r>
      <w:r w:rsidRPr="00110AF4">
        <w:rPr>
          <w:rFonts w:hint="eastAsia"/>
          <w:rtl/>
        </w:rPr>
        <w:t>‏</w:t>
      </w:r>
    </w:p>
    <w:p w:rsidR="00A23182" w:rsidRPr="00110AF4" w:rsidRDefault="00A23182" w:rsidP="007C6924">
      <w:pPr>
        <w:numPr>
          <w:ilvl w:val="0"/>
          <w:numId w:val="1"/>
        </w:numPr>
        <w:autoSpaceDE w:val="0"/>
        <w:autoSpaceDN w:val="0"/>
        <w:adjustRightInd w:val="0"/>
        <w:spacing w:after="0" w:line="360" w:lineRule="auto"/>
        <w:ind w:left="0" w:firstLine="425"/>
        <w:jc w:val="both"/>
      </w:pPr>
      <w:r w:rsidRPr="00110AF4">
        <w:t>Kattimani, S., &amp;Mahadevan, S. (2011). Treating children with attention-deficit/hyperactivity disorder and comorbid epilepsy. Annals of Indian Academy of Neurology, 14(1), 9.</w:t>
      </w:r>
      <w:r w:rsidRPr="00110AF4">
        <w:rPr>
          <w:rFonts w:hint="eastAsia"/>
          <w:rtl/>
        </w:rPr>
        <w:t>‏</w:t>
      </w:r>
    </w:p>
    <w:p w:rsidR="00A23182" w:rsidRPr="00110AF4" w:rsidRDefault="00A23182" w:rsidP="007C6924">
      <w:pPr>
        <w:numPr>
          <w:ilvl w:val="0"/>
          <w:numId w:val="1"/>
        </w:numPr>
        <w:autoSpaceDE w:val="0"/>
        <w:autoSpaceDN w:val="0"/>
        <w:adjustRightInd w:val="0"/>
        <w:spacing w:after="0" w:line="360" w:lineRule="auto"/>
        <w:ind w:left="0" w:firstLine="425"/>
        <w:jc w:val="both"/>
      </w:pPr>
      <w:r w:rsidRPr="00110AF4">
        <w:t>Laporte, N., Sébire, G., Gillerot, Y., Guerrini, R., &amp;Ghariani, S. (2002). Cognitive epilepsy: ADHD related to focal EEG discharges. Pediatric neurology, 27(4), 307-311.</w:t>
      </w:r>
    </w:p>
    <w:p w:rsidR="00A23182" w:rsidRPr="00110AF4" w:rsidRDefault="00A23182" w:rsidP="007C6924">
      <w:pPr>
        <w:numPr>
          <w:ilvl w:val="0"/>
          <w:numId w:val="1"/>
        </w:numPr>
        <w:autoSpaceDE w:val="0"/>
        <w:autoSpaceDN w:val="0"/>
        <w:adjustRightInd w:val="0"/>
        <w:spacing w:after="0" w:line="360" w:lineRule="auto"/>
        <w:ind w:left="0" w:firstLine="425"/>
        <w:jc w:val="both"/>
      </w:pPr>
      <w:r w:rsidRPr="00110AF4">
        <w:t>Meador KJ, Loring DW, Vahle VJ et al. (2005), Cognitive and behavioral effects of lamotrigine and topiramate in healthy volunteers. Neurology 64(12):2108-2114.</w:t>
      </w:r>
    </w:p>
    <w:p w:rsidR="00A23182" w:rsidRPr="00110AF4" w:rsidRDefault="00A23182" w:rsidP="007C6924">
      <w:pPr>
        <w:numPr>
          <w:ilvl w:val="0"/>
          <w:numId w:val="1"/>
        </w:numPr>
        <w:autoSpaceDE w:val="0"/>
        <w:autoSpaceDN w:val="0"/>
        <w:adjustRightInd w:val="0"/>
        <w:spacing w:after="0" w:line="360" w:lineRule="auto"/>
        <w:ind w:left="0" w:firstLine="425"/>
        <w:jc w:val="both"/>
      </w:pPr>
      <w:r w:rsidRPr="00110AF4">
        <w:t>Mikati, Mohamad A. (2011): Treatment of Seizures and Epilepsy. In R. M. Kliegman (Editor), Nelson Textbook of Pediatrics. 19th ed. (pp.2025-2033)</w:t>
      </w:r>
    </w:p>
    <w:p w:rsidR="00A23182" w:rsidRPr="00110AF4" w:rsidRDefault="00A23182" w:rsidP="007C6924">
      <w:pPr>
        <w:numPr>
          <w:ilvl w:val="0"/>
          <w:numId w:val="1"/>
        </w:numPr>
        <w:autoSpaceDE w:val="0"/>
        <w:autoSpaceDN w:val="0"/>
        <w:adjustRightInd w:val="0"/>
        <w:spacing w:after="0" w:line="360" w:lineRule="auto"/>
        <w:ind w:left="0" w:firstLine="425"/>
        <w:jc w:val="both"/>
      </w:pPr>
      <w:r w:rsidRPr="00110AF4">
        <w:t>Niv, S., Ashrafulla, S., Tuvblad, C., Joshi, A., Raine, A., Leahy, R., &amp; Baker, L. A. (2015). Childhood EEG frontal alpha power as a predictor of adolescent antisocial behavior: A twin heritability study. Biological psychology, 105, 72-76.</w:t>
      </w:r>
      <w:r w:rsidRPr="00110AF4">
        <w:rPr>
          <w:rFonts w:hint="eastAsia"/>
          <w:rtl/>
        </w:rPr>
        <w:t>‏</w:t>
      </w:r>
    </w:p>
    <w:p w:rsidR="00A23182" w:rsidRPr="00110AF4" w:rsidRDefault="00A23182" w:rsidP="007C6924">
      <w:pPr>
        <w:numPr>
          <w:ilvl w:val="0"/>
          <w:numId w:val="1"/>
        </w:numPr>
        <w:autoSpaceDE w:val="0"/>
        <w:autoSpaceDN w:val="0"/>
        <w:adjustRightInd w:val="0"/>
        <w:spacing w:after="0" w:line="360" w:lineRule="auto"/>
        <w:ind w:left="0" w:firstLine="425"/>
        <w:jc w:val="both"/>
      </w:pPr>
      <w:r w:rsidRPr="00110AF4">
        <w:t>Powell, K., Walker, R. W., Rogathe, J., Gray, W. K., Hunter, E., Newton, C. R., &amp; Burton, K. (2015). Cognition and behavior in a prevalent cohort of children with epilepsy in rural northern Tanzania: A three-year follow-up study. Epilepsy &amp; Behavior, 51, 117-123.</w:t>
      </w:r>
      <w:r w:rsidRPr="00110AF4">
        <w:rPr>
          <w:rFonts w:hint="eastAsia"/>
          <w:rtl/>
        </w:rPr>
        <w:t>‏</w:t>
      </w:r>
    </w:p>
    <w:p w:rsidR="00A23182" w:rsidRPr="00110AF4" w:rsidRDefault="00A23182" w:rsidP="007C6924">
      <w:pPr>
        <w:numPr>
          <w:ilvl w:val="0"/>
          <w:numId w:val="1"/>
        </w:numPr>
        <w:autoSpaceDE w:val="0"/>
        <w:autoSpaceDN w:val="0"/>
        <w:adjustRightInd w:val="0"/>
        <w:spacing w:after="0" w:line="360" w:lineRule="auto"/>
        <w:ind w:left="0" w:firstLine="425"/>
        <w:jc w:val="both"/>
      </w:pPr>
      <w:r w:rsidRPr="00110AF4">
        <w:t>Quintana, H., Snyder, S. M., Purnell, W., Aponte, C., &amp;Sita, J. (2007). Comparison of a standard psychiatric evaluation to rating scales and EEG in the differential diagnosis of attention-deficit/hyperactivity disorder. Psychiatry Research, 152(2), 211-222.</w:t>
      </w:r>
      <w:r w:rsidRPr="00110AF4">
        <w:rPr>
          <w:rFonts w:hint="eastAsia"/>
          <w:rtl/>
        </w:rPr>
        <w:t>‏</w:t>
      </w:r>
    </w:p>
    <w:p w:rsidR="00A23182" w:rsidRPr="00110AF4" w:rsidRDefault="00A23182" w:rsidP="007C6924">
      <w:pPr>
        <w:numPr>
          <w:ilvl w:val="0"/>
          <w:numId w:val="1"/>
        </w:numPr>
        <w:autoSpaceDE w:val="0"/>
        <w:autoSpaceDN w:val="0"/>
        <w:adjustRightInd w:val="0"/>
        <w:spacing w:after="0" w:line="360" w:lineRule="auto"/>
        <w:ind w:left="0" w:firstLine="425"/>
        <w:jc w:val="both"/>
      </w:pPr>
      <w:r w:rsidRPr="00110AF4">
        <w:t>Sadock, B. J., &amp;Sadock, V. A. (2015). Kaplan and Sadock's synopsis of psychiatry: Behavioral sciences/clinical psychiatry. Lippincott Williams &amp; Wilkins.</w:t>
      </w:r>
      <w:r w:rsidRPr="00110AF4">
        <w:rPr>
          <w:rFonts w:hint="eastAsia"/>
          <w:rtl/>
        </w:rPr>
        <w:t>‏</w:t>
      </w:r>
    </w:p>
    <w:p w:rsidR="00A23182" w:rsidRPr="00110AF4" w:rsidRDefault="00A23182" w:rsidP="007C6924">
      <w:pPr>
        <w:numPr>
          <w:ilvl w:val="0"/>
          <w:numId w:val="1"/>
        </w:numPr>
        <w:autoSpaceDE w:val="0"/>
        <w:autoSpaceDN w:val="0"/>
        <w:adjustRightInd w:val="0"/>
        <w:spacing w:after="0" w:line="360" w:lineRule="auto"/>
        <w:ind w:left="0" w:firstLine="425"/>
        <w:jc w:val="both"/>
      </w:pPr>
      <w:r w:rsidRPr="00110AF4">
        <w:t>Schubert R (2005).: Attention deficit disorder and epilepsy. Pediatr Neurol. ;32:1–10</w:t>
      </w:r>
    </w:p>
    <w:p w:rsidR="00A23182" w:rsidRPr="00110AF4" w:rsidRDefault="00A23182" w:rsidP="007C6924">
      <w:pPr>
        <w:numPr>
          <w:ilvl w:val="0"/>
          <w:numId w:val="1"/>
        </w:numPr>
        <w:autoSpaceDE w:val="0"/>
        <w:autoSpaceDN w:val="0"/>
        <w:adjustRightInd w:val="0"/>
        <w:spacing w:after="0" w:line="360" w:lineRule="auto"/>
        <w:ind w:left="0" w:firstLine="425"/>
        <w:jc w:val="both"/>
      </w:pPr>
      <w:r w:rsidRPr="00110AF4">
        <w:t>Silva, R. R., Munoz, D. M., &amp; Alpert, M. (1996). Carbamazepine use in children and adolescents with features of attention-deficit hyperactivity disorder: a meta-analysis. Journal of the American Academy of Child &amp; Adolescent Psychiatry, 35(3), 352-358</w:t>
      </w:r>
    </w:p>
    <w:p w:rsidR="00A23182" w:rsidRPr="00110AF4" w:rsidRDefault="00A23182" w:rsidP="007C6924">
      <w:pPr>
        <w:numPr>
          <w:ilvl w:val="0"/>
          <w:numId w:val="1"/>
        </w:numPr>
        <w:autoSpaceDE w:val="0"/>
        <w:autoSpaceDN w:val="0"/>
        <w:adjustRightInd w:val="0"/>
        <w:spacing w:after="0" w:line="360" w:lineRule="auto"/>
        <w:ind w:left="0" w:firstLine="425"/>
        <w:jc w:val="both"/>
      </w:pPr>
      <w:r w:rsidRPr="00110AF4">
        <w:t>Sobanski, E., Banaschewski, T., Asherson, P., Buitelaar, J., Chen, W., Franke, B., ...&amp;Stringaris, A. (2010). Emotional lability in children and adolescents with attention deficit/hyperactivity disorder (ADHD): clinical correlates and familial prevalence. Journal of Child Psychology and Psychiatry, 51(8), 915-923.</w:t>
      </w:r>
      <w:r w:rsidRPr="00110AF4">
        <w:rPr>
          <w:rFonts w:hint="eastAsia"/>
          <w:rtl/>
        </w:rPr>
        <w:t>‏</w:t>
      </w:r>
    </w:p>
    <w:p w:rsidR="00A23182" w:rsidRPr="00110AF4" w:rsidRDefault="00A23182" w:rsidP="007C6924">
      <w:pPr>
        <w:numPr>
          <w:ilvl w:val="0"/>
          <w:numId w:val="1"/>
        </w:numPr>
        <w:autoSpaceDE w:val="0"/>
        <w:autoSpaceDN w:val="0"/>
        <w:adjustRightInd w:val="0"/>
        <w:spacing w:after="0" w:line="360" w:lineRule="auto"/>
        <w:ind w:left="0" w:firstLine="425"/>
        <w:jc w:val="both"/>
      </w:pPr>
      <w:r w:rsidRPr="00110AF4">
        <w:t>Soliman, Gamal T.; Afify, Mohamed F.; Yehia, Mohamed A.; Abdel-Naem, Emad A.  and  AbdAlkarim, Samir M. (2010). Attention deficit hyperactivity disorders an epidemiological study of preschool and primary school children in minia city. El-minia med., bul., vol. 21(1)</w:t>
      </w:r>
    </w:p>
    <w:p w:rsidR="00A23182" w:rsidRPr="00110AF4" w:rsidRDefault="00A23182" w:rsidP="007C6924">
      <w:pPr>
        <w:numPr>
          <w:ilvl w:val="0"/>
          <w:numId w:val="1"/>
        </w:numPr>
        <w:autoSpaceDE w:val="0"/>
        <w:autoSpaceDN w:val="0"/>
        <w:adjustRightInd w:val="0"/>
        <w:spacing w:after="0" w:line="360" w:lineRule="auto"/>
        <w:ind w:left="0" w:firstLine="425"/>
        <w:jc w:val="both"/>
      </w:pPr>
      <w:r w:rsidRPr="00110AF4">
        <w:t>Tarullo, A. R., Garvin, M. C., &amp; Gunnar, M. R. (2011). Atypical EEG power correlates with indiscriminately friendly behavior in internationally adopted children. Developmental psychology, 47(2), 417-421</w:t>
      </w:r>
    </w:p>
    <w:p w:rsidR="00A23182" w:rsidRPr="00110AF4" w:rsidRDefault="00A23182" w:rsidP="007C6924">
      <w:pPr>
        <w:numPr>
          <w:ilvl w:val="0"/>
          <w:numId w:val="1"/>
        </w:numPr>
        <w:autoSpaceDE w:val="0"/>
        <w:autoSpaceDN w:val="0"/>
        <w:adjustRightInd w:val="0"/>
        <w:spacing w:after="0" w:line="360" w:lineRule="auto"/>
        <w:ind w:left="0" w:firstLine="425"/>
        <w:jc w:val="both"/>
      </w:pPr>
      <w:r w:rsidRPr="00110AF4">
        <w:t>Wesnes, K. A., Edgar, C., Dean, A. D. P., &amp;Wroe, S. J. (2009). The cognitive and psychomotor effects of remacemide and carbamazepine in newly diagnosed epilepsy. Epilepsy &amp; behavior, 14(3), 522-528.</w:t>
      </w:r>
    </w:p>
    <w:p w:rsidR="00A23182" w:rsidRPr="00110AF4" w:rsidRDefault="00A23182" w:rsidP="007C6924">
      <w:pPr>
        <w:numPr>
          <w:ilvl w:val="0"/>
          <w:numId w:val="1"/>
        </w:numPr>
        <w:autoSpaceDE w:val="0"/>
        <w:autoSpaceDN w:val="0"/>
        <w:adjustRightInd w:val="0"/>
        <w:spacing w:after="0" w:line="360" w:lineRule="auto"/>
        <w:ind w:left="0" w:firstLine="425"/>
        <w:jc w:val="both"/>
      </w:pPr>
    </w:p>
    <w:sectPr w:rsidR="00A23182" w:rsidRPr="00110AF4" w:rsidSect="007C6924">
      <w:headerReference w:type="default" r:id="rId10"/>
      <w:footerReference w:type="default" r:id="rId11"/>
      <w:headerReference w:type="first" r:id="rId12"/>
      <w:footerReference w:type="first" r:id="rId13"/>
      <w:pgSz w:w="11907" w:h="16839" w:code="9"/>
      <w:pgMar w:top="1701" w:right="1701" w:bottom="1701" w:left="1701" w:header="709" w:footer="709"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182" w:rsidRDefault="00A23182" w:rsidP="00A65B85">
      <w:pPr>
        <w:spacing w:after="0" w:line="240" w:lineRule="auto"/>
      </w:pPr>
      <w:r>
        <w:separator/>
      </w:r>
    </w:p>
  </w:endnote>
  <w:endnote w:type="continuationSeparator" w:id="0">
    <w:p w:rsidR="00A23182" w:rsidRDefault="00A23182" w:rsidP="00A65B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182" w:rsidRPr="007C6924" w:rsidRDefault="00A23182" w:rsidP="007C69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182" w:rsidRPr="007C6924" w:rsidRDefault="00A23182" w:rsidP="007C69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182" w:rsidRDefault="00A23182" w:rsidP="00A65B85">
      <w:pPr>
        <w:spacing w:after="0" w:line="240" w:lineRule="auto"/>
      </w:pPr>
      <w:r>
        <w:separator/>
      </w:r>
    </w:p>
  </w:footnote>
  <w:footnote w:type="continuationSeparator" w:id="0">
    <w:p w:rsidR="00A23182" w:rsidRDefault="00A23182" w:rsidP="00A65B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182" w:rsidRPr="007C6924" w:rsidRDefault="00A23182" w:rsidP="007C69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182" w:rsidRPr="007C6924" w:rsidRDefault="00A23182" w:rsidP="007C69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6F2857"/>
    <w:multiLevelType w:val="hybridMultilevel"/>
    <w:tmpl w:val="B1D48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25C8"/>
    <w:rsid w:val="00083E8C"/>
    <w:rsid w:val="00110AF4"/>
    <w:rsid w:val="001427B3"/>
    <w:rsid w:val="00180777"/>
    <w:rsid w:val="003004D4"/>
    <w:rsid w:val="003018D8"/>
    <w:rsid w:val="003B5662"/>
    <w:rsid w:val="003C20EB"/>
    <w:rsid w:val="004A6332"/>
    <w:rsid w:val="004A78D5"/>
    <w:rsid w:val="005151B9"/>
    <w:rsid w:val="00563769"/>
    <w:rsid w:val="006F1584"/>
    <w:rsid w:val="007C6924"/>
    <w:rsid w:val="0084250E"/>
    <w:rsid w:val="008D25C8"/>
    <w:rsid w:val="008E1B8E"/>
    <w:rsid w:val="0097292F"/>
    <w:rsid w:val="00A0586F"/>
    <w:rsid w:val="00A23182"/>
    <w:rsid w:val="00A3480B"/>
    <w:rsid w:val="00A65B85"/>
    <w:rsid w:val="00A66318"/>
    <w:rsid w:val="00B01C40"/>
    <w:rsid w:val="00B93867"/>
    <w:rsid w:val="00BD2275"/>
    <w:rsid w:val="00C102E6"/>
    <w:rsid w:val="00C7266E"/>
    <w:rsid w:val="00CA5EFC"/>
    <w:rsid w:val="00D4232A"/>
    <w:rsid w:val="00DA7C88"/>
    <w:rsid w:val="00E34AEA"/>
    <w:rsid w:val="00E7446A"/>
    <w:rsid w:val="00E75C62"/>
    <w:rsid w:val="00E849D3"/>
    <w:rsid w:val="00ED256C"/>
    <w:rsid w:val="00F407E7"/>
    <w:rsid w:val="00FD1779"/>
    <w:rsid w:val="00FE796D"/>
    <w:rsid w:val="00FF01D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C8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6924"/>
    <w:pPr>
      <w:tabs>
        <w:tab w:val="center" w:pos="4153"/>
        <w:tab w:val="right" w:pos="8306"/>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rsid w:val="007C6924"/>
    <w:pPr>
      <w:tabs>
        <w:tab w:val="center" w:pos="4153"/>
        <w:tab w:val="right" w:pos="8306"/>
      </w:tabs>
    </w:pPr>
  </w:style>
  <w:style w:type="character" w:customStyle="1" w:styleId="FooterChar">
    <w:name w:val="Footer Char"/>
    <w:basedOn w:val="DefaultParagraphFont"/>
    <w:link w:val="Footer"/>
    <w:uiPriority w:val="99"/>
    <w:semiHidden/>
    <w:locked/>
    <w:rPr>
      <w:rFonts w:cs="Times New Roman"/>
    </w:rPr>
  </w:style>
  <w:style w:type="table" w:styleId="TableGrid">
    <w:name w:val="Table Grid"/>
    <w:basedOn w:val="TableNormal"/>
    <w:uiPriority w:val="99"/>
    <w:rsid w:val="00BD227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14</Pages>
  <Words>3726</Words>
  <Characters>21242</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Effectiveness Of Carbamazepine In Treatment Of ADHD In Children with EEG ‎abnormalities</dc:title>
  <dc:subject/>
  <dc:creator>Dr_Sara</dc:creator>
  <cp:keywords/>
  <dc:description/>
  <cp:lastModifiedBy>mdht</cp:lastModifiedBy>
  <cp:revision>2</cp:revision>
  <cp:lastPrinted>2016-11-06T10:12:00Z</cp:lastPrinted>
  <dcterms:created xsi:type="dcterms:W3CDTF">2016-11-24T10:29:00Z</dcterms:created>
  <dcterms:modified xsi:type="dcterms:W3CDTF">2016-11-24T10:29:00Z</dcterms:modified>
</cp:coreProperties>
</file>